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51F5" w14:textId="77777777" w:rsidR="00BA1D91" w:rsidRPr="00BA1D91" w:rsidRDefault="00F65B72" w:rsidP="00BA1D91">
      <w:pPr>
        <w:jc w:val="center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>ლაბორატორიული ჯგუფის გაფართო</w:t>
      </w:r>
      <w:r w:rsidR="00A64AB6" w:rsidRPr="00BA1D91">
        <w:rPr>
          <w:b/>
          <w:sz w:val="22"/>
          <w:lang w:val="ka-GE"/>
        </w:rPr>
        <w:t>ვ</w:t>
      </w:r>
      <w:r w:rsidRPr="00BA1D91">
        <w:rPr>
          <w:b/>
          <w:sz w:val="22"/>
          <w:lang w:val="ka-GE"/>
        </w:rPr>
        <w:t xml:space="preserve">ებული </w:t>
      </w:r>
      <w:r w:rsidR="00906EE4" w:rsidRPr="00BA1D91">
        <w:rPr>
          <w:b/>
          <w:sz w:val="22"/>
          <w:lang w:val="ka-GE"/>
        </w:rPr>
        <w:t>სხდომ</w:t>
      </w:r>
      <w:r w:rsidR="00BA1D91" w:rsidRPr="00BA1D91">
        <w:rPr>
          <w:b/>
          <w:sz w:val="22"/>
          <w:lang w:val="ka-GE"/>
        </w:rPr>
        <w:t>ა</w:t>
      </w:r>
    </w:p>
    <w:p w14:paraId="717C4EA2" w14:textId="54797DF7" w:rsidR="00906EE4" w:rsidRPr="00BA1D91" w:rsidRDefault="00906EE4" w:rsidP="00BA1D91">
      <w:pPr>
        <w:jc w:val="center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 xml:space="preserve"> ოქმი</w:t>
      </w:r>
    </w:p>
    <w:p w14:paraId="3B549EE3" w14:textId="77777777" w:rsidR="00BA1D91" w:rsidRDefault="00BA1D91" w:rsidP="00A64AB6">
      <w:pPr>
        <w:jc w:val="both"/>
        <w:rPr>
          <w:sz w:val="22"/>
          <w:lang w:val="ka-GE"/>
        </w:rPr>
      </w:pPr>
    </w:p>
    <w:p w14:paraId="48E19E2D" w14:textId="5C6DAA4A" w:rsidR="00906EE4" w:rsidRPr="00BA1D91" w:rsidRDefault="00BA1D91" w:rsidP="00A64AB6">
      <w:pPr>
        <w:jc w:val="both"/>
        <w:rPr>
          <w:sz w:val="22"/>
          <w:lang w:val="ka-GE"/>
        </w:rPr>
      </w:pPr>
      <w:r w:rsidRPr="00BA1D91">
        <w:rPr>
          <w:b/>
          <w:sz w:val="22"/>
          <w:u w:val="single"/>
          <w:lang w:val="ka-GE"/>
        </w:rPr>
        <w:t xml:space="preserve">სხდომის ჩატარების </w:t>
      </w:r>
      <w:r w:rsidR="00906EE4" w:rsidRPr="00BA1D91">
        <w:rPr>
          <w:b/>
          <w:sz w:val="22"/>
          <w:u w:val="single"/>
          <w:lang w:val="ka-GE"/>
        </w:rPr>
        <w:t>თარიღი</w:t>
      </w:r>
      <w:r w:rsidRPr="00BA1D91">
        <w:rPr>
          <w:b/>
          <w:sz w:val="22"/>
          <w:u w:val="single"/>
          <w:lang w:val="ka-GE"/>
        </w:rPr>
        <w:t>:</w:t>
      </w:r>
      <w:r>
        <w:rPr>
          <w:sz w:val="22"/>
          <w:lang w:val="ka-GE"/>
        </w:rPr>
        <w:t xml:space="preserve"> </w:t>
      </w:r>
      <w:r w:rsidR="00906EE4" w:rsidRPr="00BA1D91">
        <w:rPr>
          <w:sz w:val="22"/>
          <w:lang w:val="ka-GE"/>
        </w:rPr>
        <w:t xml:space="preserve"> 4/30/20</w:t>
      </w:r>
    </w:p>
    <w:p w14:paraId="127E11F9" w14:textId="2A14FBE6" w:rsidR="00D327E1" w:rsidRPr="00BA1D91" w:rsidRDefault="00BA1D91" w:rsidP="00A64AB6">
      <w:pPr>
        <w:jc w:val="both"/>
        <w:rPr>
          <w:sz w:val="22"/>
          <w:lang w:val="ka-GE"/>
        </w:rPr>
      </w:pPr>
      <w:r w:rsidRPr="00BA1D91">
        <w:rPr>
          <w:b/>
          <w:sz w:val="22"/>
          <w:u w:val="single"/>
          <w:lang w:val="ka-GE"/>
        </w:rPr>
        <w:t>სხდომის ჩატარების ადგილი:</w:t>
      </w:r>
      <w:r>
        <w:rPr>
          <w:sz w:val="22"/>
          <w:lang w:val="ka-GE"/>
        </w:rPr>
        <w:t xml:space="preserve"> </w:t>
      </w:r>
      <w:r w:rsidRPr="00BA1D91">
        <w:rPr>
          <w:sz w:val="22"/>
          <w:lang w:val="ka-GE"/>
        </w:rPr>
        <w:t>საქართველოს ოკუპირებული ტერიტორიებიდან დევნილთა შრომის, ჯანმრთელობისა და სოციალური დაცვის</w:t>
      </w:r>
      <w:r>
        <w:rPr>
          <w:sz w:val="22"/>
          <w:lang w:val="ka-GE"/>
        </w:rPr>
        <w:t xml:space="preserve"> სამინისტრო</w:t>
      </w:r>
    </w:p>
    <w:p w14:paraId="098426F9" w14:textId="77777777" w:rsidR="00D327E1" w:rsidRPr="00BA1D91" w:rsidRDefault="00906EE4" w:rsidP="00A64AB6">
      <w:pPr>
        <w:jc w:val="both"/>
        <w:rPr>
          <w:b/>
          <w:sz w:val="22"/>
          <w:u w:val="single"/>
          <w:lang w:val="ka-GE"/>
        </w:rPr>
      </w:pPr>
      <w:r w:rsidRPr="00BA1D91">
        <w:rPr>
          <w:b/>
          <w:sz w:val="22"/>
          <w:u w:val="single"/>
          <w:lang w:val="ka-GE"/>
        </w:rPr>
        <w:t xml:space="preserve">სხდომას ესწრებოდნენ </w:t>
      </w:r>
    </w:p>
    <w:p w14:paraId="2DD7C3B3" w14:textId="77777777" w:rsidR="00906EE4" w:rsidRPr="00BA1D91" w:rsidRDefault="00906EE4" w:rsidP="00A64AB6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>ეკატერინე ტიკარაძე</w:t>
      </w:r>
      <w:r w:rsidRPr="00BA1D91">
        <w:rPr>
          <w:sz w:val="22"/>
          <w:lang w:val="ka-GE"/>
        </w:rPr>
        <w:t xml:space="preserve"> </w:t>
      </w:r>
      <w:r w:rsidR="00755628" w:rsidRPr="00BA1D91">
        <w:rPr>
          <w:sz w:val="22"/>
          <w:lang w:val="ka-GE"/>
        </w:rPr>
        <w:t>საქართველოს ოკუპირებული ტერიტორიებიდან დევნილთა შრომის, ჯანმრთელობისა და სოციალური დაცვის მინისტრი</w:t>
      </w:r>
    </w:p>
    <w:p w14:paraId="497B6811" w14:textId="77777777" w:rsidR="00906EE4" w:rsidRPr="00BA1D91" w:rsidRDefault="00906EE4" w:rsidP="00412B2A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2"/>
          <w:lang w:val="ka-GE"/>
        </w:rPr>
      </w:pPr>
      <w:r w:rsidRPr="00BA1D91">
        <w:rPr>
          <w:rFonts w:eastAsia="Times New Roman" w:cs="Times New Roman"/>
          <w:b/>
          <w:bCs/>
          <w:sz w:val="22"/>
          <w:lang w:val="ka-GE"/>
        </w:rPr>
        <w:t xml:space="preserve">თამარ გაბუნია - </w:t>
      </w:r>
      <w:r w:rsidRPr="00BA1D91">
        <w:rPr>
          <w:rFonts w:eastAsia="Times New Roman" w:cs="Times New Roman"/>
          <w:bCs/>
          <w:sz w:val="22"/>
          <w:lang w:val="ka-GE"/>
        </w:rPr>
        <w:t>მინისტრის პირველი მოადგილე;</w:t>
      </w:r>
    </w:p>
    <w:p w14:paraId="1E543D4D" w14:textId="1F712525" w:rsidR="00906EE4" w:rsidRPr="00BA1D91" w:rsidRDefault="00906EE4" w:rsidP="001E1255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 w:val="22"/>
          <w:lang w:val="ka-GE"/>
        </w:rPr>
      </w:pPr>
      <w:r w:rsidRPr="00BA1D91">
        <w:rPr>
          <w:rFonts w:eastAsia="Times New Roman" w:cs="Times New Roman"/>
          <w:b/>
          <w:bCs/>
          <w:sz w:val="22"/>
          <w:lang w:val="ka-GE"/>
        </w:rPr>
        <w:t xml:space="preserve">ეკატერინე ადამია -  </w:t>
      </w:r>
      <w:r w:rsidRPr="00BA1D91">
        <w:rPr>
          <w:rFonts w:eastAsia="Times New Roman" w:cs="Times New Roman"/>
          <w:bCs/>
          <w:sz w:val="22"/>
          <w:lang w:val="ka-GE"/>
        </w:rPr>
        <w:t>ჯანმრთელობის დაცვის პოლიტიკის სამმართველოს უფროსის მოვალეობის შემსრულებელი;</w:t>
      </w:r>
    </w:p>
    <w:p w14:paraId="20C086BF" w14:textId="77777777" w:rsidR="00906EE4" w:rsidRPr="00BA1D91" w:rsidRDefault="00906EE4" w:rsidP="00A64AB6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 w:rsidRPr="00BA1D91">
        <w:rPr>
          <w:rFonts w:eastAsia="Times New Roman" w:cs="Times New Roman"/>
          <w:b/>
          <w:bCs/>
          <w:sz w:val="22"/>
          <w:lang w:val="ka-GE"/>
        </w:rPr>
        <w:t xml:space="preserve">ამირან გამყრელიძე - </w:t>
      </w:r>
      <w:r w:rsidRPr="00BA1D91">
        <w:rPr>
          <w:sz w:val="22"/>
        </w:rPr>
        <w:t>,,ლ. საყვარელიძის სახელობის დაავადებათა კონტროლისა და საზოგადოებრივი ჯანმრთელობის ეროვნული ცენტრის‘‘</w:t>
      </w:r>
      <w:r w:rsidRPr="00BA1D91">
        <w:rPr>
          <w:sz w:val="22"/>
          <w:lang w:val="ka-GE"/>
        </w:rPr>
        <w:t xml:space="preserve"> გენერალური დირექტორი;</w:t>
      </w:r>
    </w:p>
    <w:p w14:paraId="14FE03B6" w14:textId="77777777" w:rsidR="00F65B72" w:rsidRPr="00BA1D91" w:rsidRDefault="00F65B72" w:rsidP="00F1233C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2"/>
          <w:lang w:val="ka-GE"/>
        </w:rPr>
      </w:pPr>
      <w:r w:rsidRPr="00BA1D91">
        <w:rPr>
          <w:b/>
          <w:sz w:val="22"/>
          <w:lang w:val="ka-GE"/>
        </w:rPr>
        <w:t xml:space="preserve">პაატა იმნაძე </w:t>
      </w:r>
      <w:r w:rsidRPr="00BA1D91">
        <w:rPr>
          <w:sz w:val="22"/>
        </w:rPr>
        <w:t>,,ლ. საყვარელიძის სახელობის დაავადებათა კონტ</w:t>
      </w:r>
      <w:bookmarkStart w:id="0" w:name="_GoBack"/>
      <w:bookmarkEnd w:id="0"/>
      <w:r w:rsidRPr="00BA1D91">
        <w:rPr>
          <w:sz w:val="22"/>
        </w:rPr>
        <w:t>როლისა და საზოგადოებრივი ჯანმრთელობის ეროვნული ცენტრის‘‘</w:t>
      </w:r>
      <w:r w:rsidRPr="00BA1D91">
        <w:rPr>
          <w:sz w:val="22"/>
          <w:lang w:val="ka-GE"/>
        </w:rPr>
        <w:t xml:space="preserve"> გენერალური დირექტორის მოადილე;</w:t>
      </w:r>
    </w:p>
    <w:p w14:paraId="6FE12B0A" w14:textId="77777777" w:rsidR="00906EE4" w:rsidRPr="00BA1D91" w:rsidRDefault="00906EE4" w:rsidP="00F1233C">
      <w:pPr>
        <w:spacing w:before="100" w:beforeAutospacing="1" w:after="100" w:afterAutospacing="1" w:line="240" w:lineRule="auto"/>
        <w:jc w:val="both"/>
        <w:rPr>
          <w:sz w:val="22"/>
          <w:lang w:val="ka-GE"/>
        </w:rPr>
      </w:pPr>
      <w:r w:rsidRPr="00BA1D91">
        <w:rPr>
          <w:b/>
          <w:bCs/>
          <w:sz w:val="22"/>
          <w:lang w:val="ka-GE"/>
        </w:rPr>
        <w:t>თენგიზ ცერცვაძე</w:t>
      </w:r>
      <w:r w:rsidRPr="00BA1D91">
        <w:rPr>
          <w:sz w:val="22"/>
          <w:lang w:val="ka-GE"/>
        </w:rPr>
        <w:t xml:space="preserve"> </w:t>
      </w:r>
      <w:r w:rsidRPr="00BA1D91">
        <w:rPr>
          <w:rFonts w:eastAsia="Times New Roman" w:cs="Times New Roman"/>
          <w:sz w:val="22"/>
          <w:lang w:val="ka-GE"/>
        </w:rPr>
        <w:t xml:space="preserve">- </w:t>
      </w:r>
      <w:r w:rsidRPr="00BA1D91">
        <w:rPr>
          <w:sz w:val="22"/>
          <w:lang w:val="ka-GE"/>
        </w:rPr>
        <w:t>სს ,,ინფექციური პათოლოგიის, შიდსისა და კლინიკური იმუნოლოგიის სამეცნიერო პრაქტიკული ცენტრის“ გენერალური დირექტორი,</w:t>
      </w:r>
      <w:r w:rsidR="00412B2A" w:rsidRPr="00BA1D91">
        <w:rPr>
          <w:sz w:val="22"/>
        </w:rPr>
        <w:t xml:space="preserve"> </w:t>
      </w:r>
      <w:r w:rsidRPr="00BA1D91">
        <w:rPr>
          <w:sz w:val="22"/>
          <w:lang w:val="ka-GE"/>
        </w:rPr>
        <w:t>კლინიკური ჯგუფის ხელმძღვანელი;</w:t>
      </w:r>
      <w:r w:rsidR="0097732F" w:rsidRPr="00BA1D91">
        <w:rPr>
          <w:sz w:val="22"/>
          <w:lang w:val="ka-GE"/>
        </w:rPr>
        <w:t xml:space="preserve"> </w:t>
      </w:r>
    </w:p>
    <w:p w14:paraId="2C3D1B3D" w14:textId="77777777" w:rsidR="00906EE4" w:rsidRPr="00BA1D91" w:rsidRDefault="00906EE4">
      <w:pPr>
        <w:jc w:val="both"/>
        <w:rPr>
          <w:sz w:val="22"/>
          <w:lang w:val="ka-GE"/>
        </w:rPr>
      </w:pPr>
      <w:r w:rsidRPr="00BA1D91">
        <w:rPr>
          <w:b/>
          <w:sz w:val="22"/>
        </w:rPr>
        <w:t>მაია ალხაზაშვილი</w:t>
      </w:r>
      <w:r w:rsidRPr="00BA1D91">
        <w:rPr>
          <w:sz w:val="22"/>
        </w:rPr>
        <w:t xml:space="preserve"> - სსიპ ,,ლ. საყვარელიძის სახელობის დაავადებათა კონტროლისა და საზოგადოებრივი ჯანმრთელობის ეროვნული ცენტრის‘‘ ლუგარის საზოგადოებრივი ჯანმრთელობის კვლევითი ცენტრის მენეჯერი;  </w:t>
      </w:r>
      <w:r w:rsidR="0097732F" w:rsidRPr="00BA1D91">
        <w:rPr>
          <w:sz w:val="22"/>
          <w:lang w:val="ka-GE"/>
        </w:rPr>
        <w:t xml:space="preserve">ლაბორატორიული ჯგუფის წევრი </w:t>
      </w:r>
    </w:p>
    <w:p w14:paraId="3F4ACFB2" w14:textId="77777777" w:rsidR="00906EE4" w:rsidRPr="00BA1D91" w:rsidRDefault="00906EE4" w:rsidP="00412B2A">
      <w:pPr>
        <w:jc w:val="both"/>
        <w:rPr>
          <w:sz w:val="22"/>
          <w:lang w:val="ka-GE"/>
        </w:rPr>
      </w:pPr>
      <w:r w:rsidRPr="00BA1D91">
        <w:rPr>
          <w:b/>
          <w:sz w:val="22"/>
        </w:rPr>
        <w:t>გიორგი კამკამიძე</w:t>
      </w:r>
      <w:r w:rsidRPr="00BA1D91">
        <w:rPr>
          <w:sz w:val="22"/>
        </w:rPr>
        <w:t xml:space="preserve"> - კლინიკა „ნეოლაბი“-ს დირექტორი; </w:t>
      </w:r>
      <w:r w:rsidR="0097732F" w:rsidRPr="00BA1D91">
        <w:rPr>
          <w:sz w:val="22"/>
          <w:lang w:val="ka-GE"/>
        </w:rPr>
        <w:t xml:space="preserve"> ლაბორატორიული ჯგუფის წევრი</w:t>
      </w:r>
    </w:p>
    <w:p w14:paraId="340EC604" w14:textId="77777777" w:rsidR="00906EE4" w:rsidRPr="00BA1D91" w:rsidRDefault="00906EE4" w:rsidP="00412B2A">
      <w:pPr>
        <w:jc w:val="both"/>
        <w:rPr>
          <w:sz w:val="22"/>
        </w:rPr>
      </w:pPr>
      <w:r w:rsidRPr="00BA1D91">
        <w:rPr>
          <w:b/>
          <w:sz w:val="22"/>
        </w:rPr>
        <w:t>ნინო ბაკურაძე</w:t>
      </w:r>
      <w:r w:rsidRPr="00BA1D91">
        <w:rPr>
          <w:sz w:val="22"/>
        </w:rPr>
        <w:t xml:space="preserve"> - შპს სამედიცინო ცენტრი ,,ციტო“-ს კლინიკური მენეჯერი;</w:t>
      </w:r>
      <w:r w:rsidR="0097732F" w:rsidRPr="00BA1D91">
        <w:rPr>
          <w:sz w:val="22"/>
          <w:lang w:val="ka-GE"/>
        </w:rPr>
        <w:t xml:space="preserve"> ლაბორატორიული ჯგუფის წევრი </w:t>
      </w:r>
      <w:r w:rsidRPr="00BA1D91">
        <w:rPr>
          <w:sz w:val="22"/>
        </w:rPr>
        <w:t xml:space="preserve"> </w:t>
      </w:r>
    </w:p>
    <w:p w14:paraId="35CF65F0" w14:textId="77777777" w:rsidR="00906EE4" w:rsidRPr="00BA1D91" w:rsidRDefault="00906EE4" w:rsidP="00412B2A">
      <w:pPr>
        <w:jc w:val="both"/>
        <w:rPr>
          <w:sz w:val="22"/>
          <w:lang w:val="ka-GE"/>
        </w:rPr>
      </w:pPr>
      <w:r w:rsidRPr="00BA1D91">
        <w:rPr>
          <w:b/>
          <w:sz w:val="22"/>
        </w:rPr>
        <w:t>ეკატერინე კუპატაძე</w:t>
      </w:r>
      <w:r w:rsidRPr="00BA1D91">
        <w:rPr>
          <w:sz w:val="22"/>
        </w:rPr>
        <w:t xml:space="preserve"> - შპს ,,აკად. ნ. ყიფშიძის სახელობის ცენტრალური საუნივერსიტეტო კლინიკის‘‘ ლაბორატორიის ხელმძღვანელი;</w:t>
      </w:r>
      <w:r w:rsidR="0097732F" w:rsidRPr="00BA1D91">
        <w:rPr>
          <w:sz w:val="22"/>
          <w:lang w:val="ka-GE"/>
        </w:rPr>
        <w:t xml:space="preserve"> ლაბორატორიული ჯგუფის წევრი</w:t>
      </w:r>
    </w:p>
    <w:p w14:paraId="708683E6" w14:textId="77777777" w:rsidR="00C75717" w:rsidRPr="00BA1D91" w:rsidRDefault="00C75717" w:rsidP="00412B2A">
      <w:pPr>
        <w:jc w:val="both"/>
        <w:rPr>
          <w:b/>
          <w:sz w:val="22"/>
          <w:lang w:val="ka-GE"/>
        </w:rPr>
      </w:pPr>
    </w:p>
    <w:p w14:paraId="737EF4FB" w14:textId="52AACF9D" w:rsidR="00C75717" w:rsidRPr="00BA1D91" w:rsidRDefault="00F65B72" w:rsidP="00412B2A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 xml:space="preserve">ანზორ ჭავჭავაძე - </w:t>
      </w:r>
      <w:r w:rsidRPr="00BA1D91">
        <w:rPr>
          <w:sz w:val="22"/>
          <w:lang w:val="ka-GE"/>
        </w:rPr>
        <w:t>შრომი</w:t>
      </w:r>
      <w:r w:rsidR="00412B2A" w:rsidRPr="00BA1D91">
        <w:rPr>
          <w:sz w:val="22"/>
          <w:lang w:val="ka-GE"/>
        </w:rPr>
        <w:t>თ</w:t>
      </w:r>
      <w:r w:rsidRPr="00BA1D91">
        <w:rPr>
          <w:sz w:val="22"/>
          <w:lang w:val="ka-GE"/>
        </w:rPr>
        <w:t xml:space="preserve">ი ხელშეკრულებით დასაქმებული პირი, სხდომის მდივანი </w:t>
      </w:r>
    </w:p>
    <w:p w14:paraId="4B2C361E" w14:textId="77777777" w:rsidR="00BA1D91" w:rsidRDefault="00BA1D91" w:rsidP="00412B2A">
      <w:pPr>
        <w:jc w:val="both"/>
        <w:rPr>
          <w:sz w:val="22"/>
          <w:lang w:val="ka-GE"/>
        </w:rPr>
      </w:pPr>
    </w:p>
    <w:p w14:paraId="773FF7A7" w14:textId="77777777" w:rsidR="00BA1D91" w:rsidRDefault="00BA1D91" w:rsidP="00412B2A">
      <w:pPr>
        <w:jc w:val="both"/>
        <w:rPr>
          <w:sz w:val="22"/>
          <w:lang w:val="ka-GE"/>
        </w:rPr>
      </w:pPr>
    </w:p>
    <w:p w14:paraId="688926B6" w14:textId="7A24F7B6" w:rsidR="000F2022" w:rsidRPr="00BA1D91" w:rsidRDefault="000F2022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lastRenderedPageBreak/>
        <w:t>განსახილველი თემები:</w:t>
      </w:r>
    </w:p>
    <w:p w14:paraId="709EF2C0" w14:textId="2DA065C3" w:rsidR="00A64AB6" w:rsidRPr="00BA1D91" w:rsidRDefault="00E16970" w:rsidP="00A64AB6">
      <w:pPr>
        <w:pStyle w:val="ListParagraph"/>
        <w:numPr>
          <w:ilvl w:val="0"/>
          <w:numId w:val="5"/>
        </w:numPr>
        <w:pBdr>
          <w:bottom w:val="single" w:sz="12" w:space="1" w:color="auto"/>
        </w:pBd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საქართველოში ახალი კორონავირუსით (SARS-CoV2) გამოწვეულ</w:t>
      </w:r>
      <w:r w:rsidR="00412B2A" w:rsidRPr="00BA1D91">
        <w:rPr>
          <w:sz w:val="22"/>
          <w:lang w:val="ka-GE"/>
        </w:rPr>
        <w:t>ი</w:t>
      </w:r>
      <w:r w:rsidRPr="00BA1D91">
        <w:rPr>
          <w:sz w:val="22"/>
          <w:lang w:val="ka-GE"/>
        </w:rPr>
        <w:t xml:space="preserve"> ინფექცი</w:t>
      </w:r>
      <w:r w:rsidR="00412B2A" w:rsidRPr="00BA1D91">
        <w:rPr>
          <w:sz w:val="22"/>
          <w:lang w:val="ka-GE"/>
        </w:rPr>
        <w:t>ი</w:t>
      </w:r>
      <w:r w:rsidRPr="00BA1D91">
        <w:rPr>
          <w:sz w:val="22"/>
          <w:lang w:val="ka-GE"/>
        </w:rPr>
        <w:t>ს (COVID-19) ტესტირებასთან დაკავშირებული საკითხების მიმოხილვა</w:t>
      </w:r>
      <w:r w:rsidR="00A64AB6" w:rsidRPr="00BA1D91">
        <w:rPr>
          <w:sz w:val="22"/>
          <w:lang w:val="ka-GE"/>
        </w:rPr>
        <w:t>;</w:t>
      </w:r>
    </w:p>
    <w:p w14:paraId="1CD39967" w14:textId="7D6CA328" w:rsidR="00A64AB6" w:rsidRPr="00BA1D91" w:rsidRDefault="00E16970" w:rsidP="00A64AB6">
      <w:pPr>
        <w:pStyle w:val="ListParagraph"/>
        <w:numPr>
          <w:ilvl w:val="0"/>
          <w:numId w:val="5"/>
        </w:numPr>
        <w:pBdr>
          <w:bottom w:val="single" w:sz="12" w:space="1" w:color="auto"/>
        </w:pBd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ტესტირების სამიზნე ჯგუფების გაფართოება</w:t>
      </w:r>
      <w:r w:rsidR="00A64AB6" w:rsidRPr="00BA1D91">
        <w:rPr>
          <w:sz w:val="22"/>
          <w:lang w:val="ka-GE"/>
        </w:rPr>
        <w:t>;</w:t>
      </w:r>
    </w:p>
    <w:p w14:paraId="7CB0BC63" w14:textId="06BEC2F1" w:rsidR="00C75717" w:rsidRPr="00BA1D91" w:rsidRDefault="00A64AB6" w:rsidP="00A64AB6">
      <w:pPr>
        <w:pStyle w:val="ListParagraph"/>
        <w:numPr>
          <w:ilvl w:val="0"/>
          <w:numId w:val="5"/>
        </w:numPr>
        <w:pBdr>
          <w:bottom w:val="single" w:sz="12" w:space="1" w:color="auto"/>
        </w:pBd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ტესტირებისთვის საჭირო ტესტ-სისტემების  შესყიდვისა და ლაბორატორიული სიმძლავრეების გაუმჯობესების საკითხი.</w:t>
      </w:r>
    </w:p>
    <w:p w14:paraId="39B4D244" w14:textId="6C0CA94B" w:rsidR="00412B2A" w:rsidRPr="00BA1D91" w:rsidRDefault="00F65B72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შეხვედრა გახსნა მინისტრმა ქალბატონმა ეკატერინე ტიკარაძემ</w:t>
      </w:r>
      <w:r w:rsidR="00BA1D91">
        <w:rPr>
          <w:sz w:val="22"/>
          <w:lang w:val="ka-GE"/>
        </w:rPr>
        <w:t>,</w:t>
      </w:r>
      <w:r w:rsidRPr="00BA1D91">
        <w:rPr>
          <w:sz w:val="22"/>
          <w:lang w:val="ka-GE"/>
        </w:rPr>
        <w:t xml:space="preserve"> რომელიც მიესალმა ჯგუფის წევრებს</w:t>
      </w:r>
      <w:r w:rsidR="00412B2A" w:rsidRPr="00BA1D91">
        <w:rPr>
          <w:sz w:val="22"/>
          <w:lang w:val="ka-GE"/>
        </w:rPr>
        <w:t>.</w:t>
      </w:r>
      <w:r w:rsidRPr="00BA1D91">
        <w:rPr>
          <w:sz w:val="22"/>
          <w:lang w:val="ka-GE"/>
        </w:rPr>
        <w:t xml:space="preserve">   </w:t>
      </w:r>
      <w:r w:rsidR="00412B2A" w:rsidRPr="00BA1D91">
        <w:rPr>
          <w:sz w:val="22"/>
          <w:lang w:val="ka-GE"/>
        </w:rPr>
        <w:t xml:space="preserve">სხდომას ხელმძღვანელობდა თამარ გაბუნია, რომელმაც სხდომის მონაწილეებს გააცნო განსახილველი საკითხები. </w:t>
      </w:r>
    </w:p>
    <w:p w14:paraId="57F6E193" w14:textId="64B55A0E" w:rsidR="00135DD7" w:rsidRPr="00BA1D91" w:rsidRDefault="00C75717" w:rsidP="00412B2A">
      <w:pPr>
        <w:jc w:val="both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 xml:space="preserve">ამირან გამყრელიძემ საბჭოს მოახსენა </w:t>
      </w:r>
      <w:r w:rsidR="00135DD7" w:rsidRPr="00BA1D91">
        <w:rPr>
          <w:b/>
          <w:sz w:val="22"/>
          <w:lang w:val="ka-GE"/>
        </w:rPr>
        <w:t>საქართველოში ჩატარებული ტესტირებების მონაცემები</w:t>
      </w:r>
      <w:r w:rsidR="00BA1D91">
        <w:rPr>
          <w:b/>
          <w:sz w:val="22"/>
          <w:lang w:val="ka-GE"/>
        </w:rPr>
        <w:t>.</w:t>
      </w:r>
      <w:r w:rsidR="0097732F" w:rsidRPr="00BA1D91">
        <w:rPr>
          <w:b/>
          <w:sz w:val="22"/>
          <w:lang w:val="ka-GE"/>
        </w:rPr>
        <w:t xml:space="preserve"> </w:t>
      </w:r>
      <w:r w:rsidR="00135DD7" w:rsidRPr="00BA1D91">
        <w:rPr>
          <w:b/>
          <w:sz w:val="22"/>
          <w:lang w:val="ka-GE"/>
        </w:rPr>
        <w:t xml:space="preserve">სულ </w:t>
      </w:r>
      <w:r w:rsidR="001E1255" w:rsidRPr="00BA1D91">
        <w:rPr>
          <w:b/>
          <w:sz w:val="22"/>
          <w:lang w:val="ka-GE"/>
        </w:rPr>
        <w:t>ქვეყანაში</w:t>
      </w:r>
      <w:r w:rsidR="00927B26" w:rsidRPr="00BA1D91">
        <w:rPr>
          <w:b/>
          <w:sz w:val="22"/>
          <w:lang w:val="ka-GE"/>
        </w:rPr>
        <w:t xml:space="preserve">, </w:t>
      </w:r>
      <w:r w:rsidR="00927B26" w:rsidRPr="00BA1D91">
        <w:rPr>
          <w:b/>
          <w:sz w:val="22"/>
        </w:rPr>
        <w:t xml:space="preserve">30 </w:t>
      </w:r>
      <w:r w:rsidR="00927B26" w:rsidRPr="00BA1D91">
        <w:rPr>
          <w:b/>
          <w:sz w:val="22"/>
          <w:lang w:val="ka-GE"/>
        </w:rPr>
        <w:t xml:space="preserve">აპრილის მდგომარეობით, </w:t>
      </w:r>
      <w:r w:rsidR="00135DD7" w:rsidRPr="00BA1D91">
        <w:rPr>
          <w:b/>
          <w:sz w:val="22"/>
          <w:lang w:val="ka-GE"/>
        </w:rPr>
        <w:t>ჩატარებულია 15699 პჯრ ტესტი</w:t>
      </w:r>
      <w:r w:rsidR="00A64AB6" w:rsidRPr="00BA1D91">
        <w:rPr>
          <w:b/>
          <w:sz w:val="22"/>
          <w:lang w:val="ka-GE"/>
        </w:rPr>
        <w:t>,</w:t>
      </w:r>
      <w:r w:rsidR="00135DD7" w:rsidRPr="00BA1D91">
        <w:rPr>
          <w:b/>
          <w:sz w:val="22"/>
          <w:lang w:val="ka-GE"/>
        </w:rPr>
        <w:t xml:space="preserve"> </w:t>
      </w:r>
      <w:r w:rsidR="0097732F" w:rsidRPr="00BA1D91">
        <w:rPr>
          <w:b/>
          <w:sz w:val="22"/>
          <w:lang w:val="ka-GE"/>
        </w:rPr>
        <w:t xml:space="preserve">მათ შორის: </w:t>
      </w:r>
    </w:p>
    <w:p w14:paraId="3538AECD" w14:textId="77777777" w:rsidR="00135DD7" w:rsidRPr="00BA1D91" w:rsidRDefault="00135DD7" w:rsidP="00412B2A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პირველადი ტესტი 14718 </w:t>
      </w:r>
    </w:p>
    <w:p w14:paraId="5A96C59D" w14:textId="77777777" w:rsidR="0097732F" w:rsidRPr="00BA1D91" w:rsidRDefault="00135DD7" w:rsidP="00412B2A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განმეორებით ჩატარებული </w:t>
      </w:r>
      <w:r w:rsidR="00E16970" w:rsidRPr="00BA1D91">
        <w:rPr>
          <w:sz w:val="22"/>
          <w:lang w:val="ka-GE"/>
        </w:rPr>
        <w:t>981</w:t>
      </w:r>
    </w:p>
    <w:p w14:paraId="6527FB63" w14:textId="77777777" w:rsidR="0097732F" w:rsidRPr="00BA1D91" w:rsidRDefault="00135DD7" w:rsidP="00412B2A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დადასტურებული 539</w:t>
      </w:r>
      <w:r w:rsidR="0097732F" w:rsidRPr="00BA1D91">
        <w:rPr>
          <w:sz w:val="22"/>
          <w:lang w:val="ka-GE"/>
        </w:rPr>
        <w:t xml:space="preserve"> (მათ შორის 66 ჯანდაცვის მუშაკი, მთლიანი დაინფიცირებულების 12 %</w:t>
      </w:r>
      <w:r w:rsidR="00412B2A" w:rsidRPr="00BA1D91">
        <w:rPr>
          <w:sz w:val="22"/>
          <w:lang w:val="ka-GE"/>
        </w:rPr>
        <w:t xml:space="preserve">, </w:t>
      </w:r>
      <w:r w:rsidR="0097732F" w:rsidRPr="00BA1D91">
        <w:rPr>
          <w:sz w:val="22"/>
          <w:lang w:val="ka-GE"/>
        </w:rPr>
        <w:t>რაც საყურადღებოა).</w:t>
      </w:r>
    </w:p>
    <w:p w14:paraId="4AD25DDD" w14:textId="77777777" w:rsidR="00135DD7" w:rsidRPr="00BA1D91" w:rsidRDefault="00135DD7" w:rsidP="00412B2A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167 გამოჯანმრთელებელი </w:t>
      </w:r>
    </w:p>
    <w:p w14:paraId="0367BEBB" w14:textId="77777777" w:rsidR="00135DD7" w:rsidRPr="00BA1D91" w:rsidRDefault="00135DD7" w:rsidP="00412B2A">
      <w:pPr>
        <w:pStyle w:val="ListParagraph"/>
        <w:numPr>
          <w:ilvl w:val="0"/>
          <w:numId w:val="2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ლეტალობა 1,1</w:t>
      </w:r>
      <w:r w:rsidR="00E16970" w:rsidRPr="00BA1D91">
        <w:rPr>
          <w:sz w:val="22"/>
          <w:lang w:val="ka-GE"/>
        </w:rPr>
        <w:t>%</w:t>
      </w:r>
    </w:p>
    <w:p w14:paraId="39EAFABD" w14:textId="6A079767" w:rsidR="00135DD7" w:rsidRPr="00BA1D91" w:rsidRDefault="00A252D3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აღსანიშნავია,</w:t>
      </w:r>
      <w:r w:rsidR="0097732F" w:rsidRPr="00BA1D91">
        <w:rPr>
          <w:sz w:val="22"/>
          <w:lang w:val="ka-GE"/>
        </w:rPr>
        <w:t xml:space="preserve"> რომ პირველ </w:t>
      </w:r>
      <w:r w:rsidR="00135DD7" w:rsidRPr="00BA1D91">
        <w:rPr>
          <w:sz w:val="22"/>
          <w:lang w:val="ka-GE"/>
        </w:rPr>
        <w:t xml:space="preserve"> ეტაპზე ტესტირებას ახორციელებდა, ლუგარის ლაბორატორია, </w:t>
      </w:r>
      <w:r w:rsidR="0097732F" w:rsidRPr="00BA1D91">
        <w:rPr>
          <w:sz w:val="22"/>
          <w:lang w:val="ka-GE"/>
        </w:rPr>
        <w:t>N</w:t>
      </w:r>
      <w:r w:rsidR="0097732F" w:rsidRPr="00BA1D91">
        <w:rPr>
          <w:sz w:val="22"/>
        </w:rPr>
        <w:t>CDC-</w:t>
      </w:r>
      <w:r w:rsidR="0097732F" w:rsidRPr="00BA1D91">
        <w:rPr>
          <w:sz w:val="22"/>
          <w:lang w:val="ka-GE"/>
        </w:rPr>
        <w:t xml:space="preserve">ს </w:t>
      </w:r>
      <w:r w:rsidR="00135DD7" w:rsidRPr="00BA1D91">
        <w:rPr>
          <w:sz w:val="22"/>
          <w:lang w:val="ka-GE"/>
        </w:rPr>
        <w:t>ქუთაისის და ბათუმის რეგ</w:t>
      </w:r>
      <w:r w:rsidR="0097732F" w:rsidRPr="00BA1D91">
        <w:rPr>
          <w:sz w:val="22"/>
          <w:lang w:val="ka-GE"/>
        </w:rPr>
        <w:t>იონული</w:t>
      </w:r>
      <w:r w:rsidR="00135DD7" w:rsidRPr="00BA1D91">
        <w:rPr>
          <w:sz w:val="22"/>
          <w:lang w:val="ka-GE"/>
        </w:rPr>
        <w:t xml:space="preserve"> ცენტრები, </w:t>
      </w:r>
      <w:r w:rsidR="0097732F" w:rsidRPr="00BA1D91">
        <w:rPr>
          <w:sz w:val="22"/>
          <w:lang w:val="ka-GE"/>
        </w:rPr>
        <w:t xml:space="preserve">ინფექციური პათოლოგიის, შიდსისა და კლინიკური იმუნოლოგიის სამეცნიერო-პრაქტიკული ცენტრი </w:t>
      </w:r>
      <w:r w:rsidR="00135DD7" w:rsidRPr="00BA1D91">
        <w:rPr>
          <w:sz w:val="22"/>
          <w:lang w:val="ka-GE"/>
        </w:rPr>
        <w:t xml:space="preserve">და </w:t>
      </w:r>
      <w:r w:rsidR="00927B26" w:rsidRPr="00BA1D91">
        <w:rPr>
          <w:sz w:val="22"/>
          <w:lang w:val="ka-GE"/>
        </w:rPr>
        <w:t xml:space="preserve">კლინიკა </w:t>
      </w:r>
      <w:r w:rsidR="00135DD7" w:rsidRPr="00BA1D91">
        <w:rPr>
          <w:sz w:val="22"/>
          <w:lang w:val="ka-GE"/>
        </w:rPr>
        <w:t>ნეოლაბი. დღეში დაახლოებით 250 ტესტი</w:t>
      </w:r>
      <w:r w:rsidR="00546891" w:rsidRPr="00BA1D91">
        <w:rPr>
          <w:sz w:val="22"/>
          <w:lang w:val="ka-GE"/>
        </w:rPr>
        <w:t xml:space="preserve">. </w:t>
      </w:r>
      <w:r w:rsidR="001E1255" w:rsidRPr="00BA1D91">
        <w:rPr>
          <w:sz w:val="22"/>
          <w:lang w:val="ka-GE"/>
        </w:rPr>
        <w:t xml:space="preserve">ამასთან, </w:t>
      </w:r>
      <w:r w:rsidR="0097732F" w:rsidRPr="00BA1D91">
        <w:rPr>
          <w:sz w:val="22"/>
          <w:lang w:val="ka-GE"/>
        </w:rPr>
        <w:t>ტესტირების უმეტესობა</w:t>
      </w:r>
      <w:r w:rsidR="001E1255" w:rsidRPr="00BA1D91">
        <w:rPr>
          <w:sz w:val="22"/>
          <w:lang w:val="ka-GE"/>
        </w:rPr>
        <w:t xml:space="preserve"> - დაახლოებით 70%</w:t>
      </w:r>
      <w:r w:rsidR="001E1255" w:rsidRPr="00BA1D91">
        <w:rPr>
          <w:sz w:val="22"/>
        </w:rPr>
        <w:t xml:space="preserve"> </w:t>
      </w:r>
      <w:r w:rsidR="001E1255" w:rsidRPr="00BA1D91">
        <w:rPr>
          <w:sz w:val="22"/>
          <w:lang w:val="ka-GE"/>
        </w:rPr>
        <w:t>ხორციელდება</w:t>
      </w:r>
      <w:r w:rsidR="0097732F" w:rsidRPr="00BA1D91">
        <w:rPr>
          <w:sz w:val="22"/>
          <w:lang w:val="ka-GE"/>
        </w:rPr>
        <w:t xml:space="preserve"> </w:t>
      </w:r>
      <w:r w:rsidR="001E1255" w:rsidRPr="00BA1D91">
        <w:rPr>
          <w:sz w:val="22"/>
        </w:rPr>
        <w:t>NCDC</w:t>
      </w:r>
      <w:r w:rsidR="001E1255" w:rsidRPr="00BA1D91">
        <w:rPr>
          <w:sz w:val="22"/>
          <w:lang w:val="ka-GE"/>
        </w:rPr>
        <w:t>-ს ბაზაზე.</w:t>
      </w:r>
      <w:r w:rsidR="0097732F" w:rsidRPr="00BA1D91">
        <w:rPr>
          <w:sz w:val="22"/>
          <w:lang w:val="ka-GE"/>
        </w:rPr>
        <w:t>გასათვალისწინებელია</w:t>
      </w:r>
      <w:r w:rsidR="001E1255" w:rsidRPr="00BA1D91">
        <w:rPr>
          <w:sz w:val="22"/>
          <w:lang w:val="ka-GE"/>
        </w:rPr>
        <w:t>,</w:t>
      </w:r>
      <w:r w:rsidR="0097732F" w:rsidRPr="00BA1D91">
        <w:rPr>
          <w:sz w:val="22"/>
          <w:lang w:val="ka-GE"/>
        </w:rPr>
        <w:t xml:space="preserve"> რომ </w:t>
      </w:r>
      <w:r w:rsidR="0097732F" w:rsidRPr="00BA1D91">
        <w:rPr>
          <w:sz w:val="22"/>
        </w:rPr>
        <w:t xml:space="preserve">COVID19 </w:t>
      </w:r>
      <w:r w:rsidR="0097732F" w:rsidRPr="00BA1D91">
        <w:rPr>
          <w:sz w:val="22"/>
          <w:lang w:val="ka-GE"/>
        </w:rPr>
        <w:t xml:space="preserve">ინფექციის გავრცელების თავიდან აცილების მიზნით დაწესებული </w:t>
      </w:r>
      <w:r w:rsidR="00135DD7" w:rsidRPr="00BA1D91">
        <w:rPr>
          <w:sz w:val="22"/>
          <w:lang w:val="ka-GE"/>
        </w:rPr>
        <w:t xml:space="preserve">შეზღუდვების </w:t>
      </w:r>
      <w:r w:rsidR="0097732F" w:rsidRPr="00BA1D91">
        <w:rPr>
          <w:sz w:val="22"/>
          <w:lang w:val="ka-GE"/>
        </w:rPr>
        <w:t xml:space="preserve">ეტაპობრივ </w:t>
      </w:r>
      <w:r w:rsidR="00135DD7" w:rsidRPr="00BA1D91">
        <w:rPr>
          <w:sz w:val="22"/>
          <w:lang w:val="ka-GE"/>
        </w:rPr>
        <w:t xml:space="preserve">მოხსნასთან </w:t>
      </w:r>
      <w:r w:rsidR="0097732F" w:rsidRPr="00BA1D91">
        <w:rPr>
          <w:sz w:val="22"/>
          <w:lang w:val="ka-GE"/>
        </w:rPr>
        <w:t>ერთად</w:t>
      </w:r>
      <w:r w:rsidR="00927B26" w:rsidRPr="00BA1D91">
        <w:rPr>
          <w:sz w:val="22"/>
          <w:lang w:val="ka-GE"/>
        </w:rPr>
        <w:t>,</w:t>
      </w:r>
      <w:r w:rsidR="0097732F" w:rsidRPr="00BA1D91">
        <w:rPr>
          <w:sz w:val="22"/>
          <w:lang w:val="ka-GE"/>
        </w:rPr>
        <w:t xml:space="preserve"> შესაძლოა დავდგეთ შემთხვევათა მატების საშიშროების წინაშე, ამდენად </w:t>
      </w:r>
      <w:r w:rsidR="00135DD7" w:rsidRPr="00BA1D91">
        <w:rPr>
          <w:sz w:val="22"/>
          <w:lang w:val="ka-GE"/>
        </w:rPr>
        <w:t xml:space="preserve"> აუცილებელი ტესტირების რაოდენობის </w:t>
      </w:r>
      <w:r w:rsidR="0097732F" w:rsidRPr="00BA1D91">
        <w:rPr>
          <w:sz w:val="22"/>
          <w:lang w:val="ka-GE"/>
        </w:rPr>
        <w:t xml:space="preserve">გაზრდა. ბატონმა ამირანმა მიმოიხილა  </w:t>
      </w:r>
      <w:r w:rsidR="00927B26" w:rsidRPr="00BA1D91">
        <w:rPr>
          <w:sz w:val="22"/>
          <w:lang w:val="ka-GE"/>
        </w:rPr>
        <w:t xml:space="preserve">სხვა </w:t>
      </w:r>
      <w:r w:rsidR="0097732F" w:rsidRPr="00BA1D91">
        <w:rPr>
          <w:sz w:val="22"/>
          <w:lang w:val="ka-GE"/>
        </w:rPr>
        <w:t>ქვეყნების გამოცდილება და ტესტირების ალგორითმები და ხაზი გაუსვა იმას</w:t>
      </w:r>
      <w:r w:rsidR="00A64AB6" w:rsidRPr="00BA1D91">
        <w:rPr>
          <w:sz w:val="22"/>
          <w:lang w:val="ka-GE"/>
        </w:rPr>
        <w:t>,</w:t>
      </w:r>
      <w:r w:rsidR="0097732F" w:rsidRPr="00BA1D91">
        <w:rPr>
          <w:sz w:val="22"/>
          <w:lang w:val="ka-GE"/>
        </w:rPr>
        <w:t xml:space="preserve"> რომ საქართველო</w:t>
      </w:r>
      <w:r w:rsidR="00927B26" w:rsidRPr="00BA1D91">
        <w:rPr>
          <w:sz w:val="22"/>
          <w:lang w:val="ka-GE"/>
        </w:rPr>
        <w:t>ში</w:t>
      </w:r>
      <w:r w:rsidR="0097732F" w:rsidRPr="00BA1D91">
        <w:rPr>
          <w:sz w:val="22"/>
          <w:lang w:val="ka-GE"/>
        </w:rPr>
        <w:t xml:space="preserve"> ყვ</w:t>
      </w:r>
      <w:r w:rsidR="00927B26" w:rsidRPr="00BA1D91">
        <w:rPr>
          <w:sz w:val="22"/>
          <w:lang w:val="ka-GE"/>
        </w:rPr>
        <w:t>ე</w:t>
      </w:r>
      <w:r w:rsidR="0097732F" w:rsidRPr="00BA1D91">
        <w:rPr>
          <w:sz w:val="22"/>
          <w:lang w:val="ka-GE"/>
        </w:rPr>
        <w:t>ლა ტიპის ტესტი</w:t>
      </w:r>
      <w:r w:rsidR="00927B26" w:rsidRPr="00BA1D91">
        <w:rPr>
          <w:sz w:val="22"/>
          <w:lang w:val="ka-GE"/>
        </w:rPr>
        <w:t>რები</w:t>
      </w:r>
      <w:r w:rsidR="0097732F" w:rsidRPr="00BA1D91">
        <w:rPr>
          <w:sz w:val="22"/>
          <w:lang w:val="ka-GE"/>
        </w:rPr>
        <w:t>ს გათვალისწინებით</w:t>
      </w:r>
      <w:r w:rsidR="00A64AB6" w:rsidRPr="00BA1D91">
        <w:rPr>
          <w:sz w:val="22"/>
          <w:lang w:val="ka-GE"/>
        </w:rPr>
        <w:t>,</w:t>
      </w:r>
      <w:r w:rsidR="0097732F" w:rsidRPr="00BA1D91">
        <w:rPr>
          <w:sz w:val="22"/>
          <w:lang w:val="ka-GE"/>
        </w:rPr>
        <w:t xml:space="preserve"> მოსახლეობის </w:t>
      </w:r>
      <w:r w:rsidR="00927B26" w:rsidRPr="00BA1D91">
        <w:rPr>
          <w:sz w:val="22"/>
          <w:lang w:val="ka-GE"/>
        </w:rPr>
        <w:t xml:space="preserve">დაახლოებით </w:t>
      </w:r>
      <w:r w:rsidR="0097732F" w:rsidRPr="00BA1D91">
        <w:rPr>
          <w:sz w:val="22"/>
          <w:lang w:val="ka-GE"/>
        </w:rPr>
        <w:t xml:space="preserve">0,7 პროცენტია გატესტილი. რაც დამაკმაყოფილებელი მაჩვენებელია. </w:t>
      </w:r>
      <w:r w:rsidR="00927B26" w:rsidRPr="00BA1D91">
        <w:rPr>
          <w:sz w:val="22"/>
          <w:lang w:val="ka-GE"/>
        </w:rPr>
        <w:t xml:space="preserve">თუმცა, წარმატებული ქვეყნების მსგავსი შედეგების მისაღწევად, სასურველია </w:t>
      </w:r>
      <w:r w:rsidR="0097732F" w:rsidRPr="00BA1D91">
        <w:rPr>
          <w:sz w:val="22"/>
          <w:lang w:val="ka-GE"/>
        </w:rPr>
        <w:t>მოსახლეობის 2-2.5% ის ტესტირება</w:t>
      </w:r>
      <w:r w:rsidR="00927B26" w:rsidRPr="00BA1D91">
        <w:rPr>
          <w:sz w:val="22"/>
          <w:lang w:val="ka-GE"/>
        </w:rPr>
        <w:t>,</w:t>
      </w:r>
      <w:r w:rsidR="0097732F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t>რისთვისაც საჭიროა დღეში 2000-2500 ტესტის ჩატარება</w:t>
      </w:r>
      <w:r w:rsidR="00927B26" w:rsidRPr="00BA1D91">
        <w:rPr>
          <w:sz w:val="22"/>
          <w:lang w:val="ka-GE"/>
        </w:rPr>
        <w:t xml:space="preserve">. აღნიშნული სამიზნეების დასაძლევად, </w:t>
      </w:r>
      <w:r w:rsidR="00AE6E6A" w:rsidRPr="00BA1D91">
        <w:rPr>
          <w:sz w:val="22"/>
          <w:lang w:val="ka-GE"/>
        </w:rPr>
        <w:t xml:space="preserve"> აუცილებელია ტესტირებაში ჩართული ლაბორატორიების რაოდენობის გაზრდა. ამ მ</w:t>
      </w:r>
      <w:r w:rsidR="00135DD7" w:rsidRPr="00BA1D91">
        <w:rPr>
          <w:sz w:val="22"/>
          <w:lang w:val="ka-GE"/>
        </w:rPr>
        <w:t xml:space="preserve">იზნით </w:t>
      </w:r>
      <w:r w:rsidR="00927B26" w:rsidRPr="00BA1D91">
        <w:rPr>
          <w:sz w:val="22"/>
          <w:lang w:val="ka-GE"/>
        </w:rPr>
        <w:t xml:space="preserve">პროექტში  ჩართულ </w:t>
      </w:r>
      <w:r w:rsidR="00135DD7" w:rsidRPr="00BA1D91">
        <w:rPr>
          <w:sz w:val="22"/>
          <w:lang w:val="ka-GE"/>
        </w:rPr>
        <w:t xml:space="preserve">ლაბორატორიებს დაემატა კიდევ 7 ლაბორატორია. </w:t>
      </w:r>
    </w:p>
    <w:p w14:paraId="4D269BC5" w14:textId="77777777" w:rsidR="00BA1D91" w:rsidRPr="00BA1D91" w:rsidRDefault="00A64AB6" w:rsidP="00412B2A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BA1D91">
        <w:rPr>
          <w:sz w:val="22"/>
        </w:rPr>
        <w:t>შპს სამედიცინო ცენტრი ,,ციტო“</w:t>
      </w:r>
    </w:p>
    <w:p w14:paraId="0D34E2A1" w14:textId="3CC7842E" w:rsidR="00135DD7" w:rsidRPr="00BA1D91" w:rsidRDefault="00A64AB6" w:rsidP="00412B2A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სს ,,</w:t>
      </w:r>
      <w:r w:rsidR="00135DD7" w:rsidRPr="00BA1D91">
        <w:rPr>
          <w:sz w:val="22"/>
          <w:lang w:val="ka-GE"/>
        </w:rPr>
        <w:t>მეგალაბი</w:t>
      </w:r>
      <w:r w:rsidRPr="00BA1D91">
        <w:rPr>
          <w:sz w:val="22"/>
          <w:lang w:val="ka-GE"/>
        </w:rPr>
        <w:t>“</w:t>
      </w:r>
      <w:r w:rsidR="00135DD7" w:rsidRPr="00BA1D91">
        <w:rPr>
          <w:sz w:val="22"/>
          <w:lang w:val="ka-GE"/>
        </w:rPr>
        <w:t xml:space="preserve"> </w:t>
      </w:r>
    </w:p>
    <w:p w14:paraId="40E6DF6E" w14:textId="311CBD6F" w:rsidR="00135DD7" w:rsidRPr="00BA1D91" w:rsidRDefault="00A64AB6" w:rsidP="00412B2A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შპს ,,</w:t>
      </w:r>
      <w:r w:rsidR="00135DD7" w:rsidRPr="00BA1D91">
        <w:rPr>
          <w:sz w:val="22"/>
          <w:lang w:val="ka-GE"/>
        </w:rPr>
        <w:t xml:space="preserve">მოლეკულური </w:t>
      </w:r>
      <w:r w:rsidRPr="00BA1D91">
        <w:rPr>
          <w:sz w:val="22"/>
          <w:lang w:val="ka-GE"/>
        </w:rPr>
        <w:t>დიაგნოსტიკის ცენტრი“</w:t>
      </w:r>
    </w:p>
    <w:p w14:paraId="3B59122A" w14:textId="28314F95" w:rsidR="00135DD7" w:rsidRPr="00BA1D91" w:rsidRDefault="00A64AB6" w:rsidP="00412B2A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შპს "სალიხ აბაშიძის ინფექციური პათოლოგიის, შიდსის და ტუბერკულოზის რეგიონული ცენტრი" (ბათუმი)</w:t>
      </w:r>
      <w:r w:rsidR="00F1233C" w:rsidRPr="00BA1D91">
        <w:rPr>
          <w:sz w:val="22"/>
          <w:lang w:val="ka-GE"/>
        </w:rPr>
        <w:t>შპს-ლჯ და კომპანია დასავლეთ საქართველოს ტუბერკულოზისა და ინფექციურ პათოლოგიათა ცენტრი (ქუთაისი)</w:t>
      </w:r>
      <w:r w:rsidR="00F1233C" w:rsidRPr="00BA1D91">
        <w:rPr>
          <w:rFonts w:cs="Sylfaen"/>
          <w:sz w:val="22"/>
          <w:shd w:val="clear" w:color="auto" w:fill="FFFFFF"/>
        </w:rPr>
        <w:t>ურსათის</w:t>
      </w:r>
      <w:r w:rsidR="00F1233C" w:rsidRPr="00BA1D91">
        <w:rPr>
          <w:sz w:val="22"/>
          <w:shd w:val="clear" w:color="auto" w:fill="FFFFFF"/>
        </w:rPr>
        <w:t xml:space="preserve"> </w:t>
      </w:r>
      <w:r w:rsidR="00F1233C" w:rsidRPr="00BA1D91">
        <w:rPr>
          <w:rFonts w:cs="Sylfaen"/>
          <w:sz w:val="22"/>
          <w:shd w:val="clear" w:color="auto" w:fill="FFFFFF"/>
        </w:rPr>
        <w:lastRenderedPageBreak/>
        <w:t>ეროვნული</w:t>
      </w:r>
      <w:r w:rsidR="00F1233C" w:rsidRPr="00BA1D91">
        <w:rPr>
          <w:sz w:val="22"/>
          <w:shd w:val="clear" w:color="auto" w:fill="FFFFFF"/>
        </w:rPr>
        <w:t xml:space="preserve"> </w:t>
      </w:r>
      <w:r w:rsidR="00F1233C" w:rsidRPr="00BA1D91">
        <w:rPr>
          <w:rFonts w:cs="Sylfaen"/>
          <w:sz w:val="22"/>
          <w:shd w:val="clear" w:color="auto" w:fill="FFFFFF"/>
        </w:rPr>
        <w:t>სააგენტოს</w:t>
      </w:r>
      <w:r w:rsidR="00F1233C" w:rsidRPr="00BA1D91">
        <w:rPr>
          <w:sz w:val="22"/>
          <w:shd w:val="clear" w:color="auto" w:fill="FFFFFF"/>
        </w:rPr>
        <w:t xml:space="preserve"> </w:t>
      </w:r>
      <w:r w:rsidR="00F1233C" w:rsidRPr="00BA1D91">
        <w:rPr>
          <w:rFonts w:cs="Sylfaen"/>
          <w:sz w:val="22"/>
          <w:shd w:val="clear" w:color="auto" w:fill="FFFFFF"/>
        </w:rPr>
        <w:t>იმერეთის</w:t>
      </w:r>
      <w:r w:rsidR="00F1233C" w:rsidRPr="00BA1D91">
        <w:rPr>
          <w:sz w:val="22"/>
          <w:shd w:val="clear" w:color="auto" w:fill="FFFFFF"/>
        </w:rPr>
        <w:t xml:space="preserve"> </w:t>
      </w:r>
      <w:r w:rsidR="00F1233C" w:rsidRPr="00BA1D91">
        <w:rPr>
          <w:rFonts w:cs="Sylfaen"/>
          <w:sz w:val="22"/>
          <w:shd w:val="clear" w:color="auto" w:fill="FFFFFF"/>
        </w:rPr>
        <w:t>რეგიონული</w:t>
      </w:r>
      <w:r w:rsidR="00F1233C" w:rsidRPr="00BA1D91">
        <w:rPr>
          <w:sz w:val="22"/>
          <w:shd w:val="clear" w:color="auto" w:fill="FFFFFF"/>
        </w:rPr>
        <w:t xml:space="preserve"> </w:t>
      </w:r>
      <w:r w:rsidR="00F1233C" w:rsidRPr="00BA1D91">
        <w:rPr>
          <w:rFonts w:cs="Sylfaen"/>
          <w:sz w:val="22"/>
          <w:shd w:val="clear" w:color="auto" w:fill="FFFFFF"/>
        </w:rPr>
        <w:t>ოფისი</w:t>
      </w:r>
      <w:r w:rsidR="00F1233C" w:rsidRPr="00BA1D91">
        <w:rPr>
          <w:rFonts w:cs="Sylfaen"/>
          <w:sz w:val="22"/>
          <w:shd w:val="clear" w:color="auto" w:fill="FFFFFF"/>
          <w:lang w:val="ka-GE"/>
        </w:rPr>
        <w:t xml:space="preserve"> (</w:t>
      </w:r>
      <w:r w:rsidR="00135DD7" w:rsidRPr="00BA1D91">
        <w:rPr>
          <w:sz w:val="22"/>
          <w:lang w:val="ka-GE"/>
        </w:rPr>
        <w:t>ქუთაისის ვეტერინა</w:t>
      </w:r>
      <w:r w:rsidR="00F1233C" w:rsidRPr="00BA1D91">
        <w:rPr>
          <w:sz w:val="22"/>
          <w:lang w:val="ka-GE"/>
        </w:rPr>
        <w:t>რული</w:t>
      </w:r>
      <w:r w:rsidR="00135DD7" w:rsidRPr="00BA1D91">
        <w:rPr>
          <w:sz w:val="22"/>
          <w:lang w:val="ka-GE"/>
        </w:rPr>
        <w:t xml:space="preserve"> ლაბორატორია</w:t>
      </w:r>
      <w:r w:rsidR="00F1233C" w:rsidRPr="00BA1D91">
        <w:rPr>
          <w:sz w:val="22"/>
          <w:lang w:val="ka-GE"/>
        </w:rPr>
        <w:t>)</w:t>
      </w:r>
      <w:r w:rsidR="00135DD7" w:rsidRPr="00BA1D91">
        <w:rPr>
          <w:sz w:val="22"/>
          <w:lang w:val="ka-GE"/>
        </w:rPr>
        <w:t xml:space="preserve"> </w:t>
      </w:r>
    </w:p>
    <w:p w14:paraId="631AA0A2" w14:textId="77777777" w:rsidR="00135DD7" w:rsidRPr="00BA1D91" w:rsidRDefault="00F1233C" w:rsidP="00412B2A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შპს ,,</w:t>
      </w:r>
      <w:r w:rsidR="00135DD7" w:rsidRPr="00BA1D91">
        <w:rPr>
          <w:sz w:val="22"/>
          <w:lang w:val="ka-GE"/>
        </w:rPr>
        <w:t xml:space="preserve">ავერსის </w:t>
      </w:r>
      <w:r w:rsidRPr="00BA1D91">
        <w:rPr>
          <w:sz w:val="22"/>
          <w:lang w:val="ka-GE"/>
        </w:rPr>
        <w:t xml:space="preserve">კლინიკის </w:t>
      </w:r>
      <w:r w:rsidR="00135DD7" w:rsidRPr="00BA1D91">
        <w:rPr>
          <w:sz w:val="22"/>
          <w:lang w:val="ka-GE"/>
        </w:rPr>
        <w:t>ლაბორატორია</w:t>
      </w:r>
      <w:r w:rsidRPr="00BA1D91">
        <w:rPr>
          <w:sz w:val="22"/>
          <w:lang w:val="ka-GE"/>
        </w:rPr>
        <w:t>“</w:t>
      </w:r>
      <w:r w:rsidR="00135DD7" w:rsidRPr="00BA1D91">
        <w:rPr>
          <w:sz w:val="22"/>
          <w:lang w:val="ka-GE"/>
        </w:rPr>
        <w:t xml:space="preserve"> </w:t>
      </w:r>
    </w:p>
    <w:p w14:paraId="0F915CB8" w14:textId="702B1155" w:rsidR="002A28A2" w:rsidRPr="00BA1D91" w:rsidRDefault="00927B26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დამატებით, </w:t>
      </w:r>
      <w:r w:rsidR="002A28A2" w:rsidRPr="00BA1D91">
        <w:rPr>
          <w:sz w:val="22"/>
          <w:lang w:val="ka-GE"/>
        </w:rPr>
        <w:t>ამირან გამყრ</w:t>
      </w:r>
      <w:r w:rsidR="00AE6E6A" w:rsidRPr="00BA1D91">
        <w:rPr>
          <w:sz w:val="22"/>
          <w:lang w:val="ka-GE"/>
        </w:rPr>
        <w:t>ე</w:t>
      </w:r>
      <w:r w:rsidR="002A28A2" w:rsidRPr="00BA1D91">
        <w:rPr>
          <w:sz w:val="22"/>
          <w:lang w:val="ka-GE"/>
        </w:rPr>
        <w:t>ლ</w:t>
      </w:r>
      <w:r w:rsidRPr="00BA1D91">
        <w:rPr>
          <w:sz w:val="22"/>
          <w:lang w:val="ka-GE"/>
        </w:rPr>
        <w:t>ი</w:t>
      </w:r>
      <w:r w:rsidR="002A28A2" w:rsidRPr="00BA1D91">
        <w:rPr>
          <w:sz w:val="22"/>
          <w:lang w:val="ka-GE"/>
        </w:rPr>
        <w:t>ძემ ჯგუფს მოახსენა</w:t>
      </w:r>
      <w:r w:rsidR="00F1233C" w:rsidRPr="00BA1D91">
        <w:rPr>
          <w:sz w:val="22"/>
          <w:lang w:val="ka-GE"/>
        </w:rPr>
        <w:t>,</w:t>
      </w:r>
      <w:r w:rsidR="002A28A2" w:rsidRPr="00BA1D91">
        <w:rPr>
          <w:sz w:val="22"/>
          <w:lang w:val="ka-GE"/>
        </w:rPr>
        <w:t xml:space="preserve"> რომ გრიპის მონიტორინგის </w:t>
      </w:r>
      <w:r w:rsidR="00460A14" w:rsidRPr="00BA1D91">
        <w:rPr>
          <w:sz w:val="22"/>
          <w:lang w:val="ka-GE"/>
        </w:rPr>
        <w:t xml:space="preserve">სენტინელურ  ბაზებზე </w:t>
      </w:r>
      <w:r w:rsidR="002A28A2" w:rsidRPr="00BA1D91">
        <w:rPr>
          <w:sz w:val="22"/>
          <w:lang w:val="ka-GE"/>
        </w:rPr>
        <w:t>ჩატარებულ კვლევებში კორონავირუსი არ დაფიქსირდა. ასევე</w:t>
      </w:r>
      <w:r w:rsidR="00460A14" w:rsidRPr="00BA1D91">
        <w:rPr>
          <w:sz w:val="22"/>
          <w:lang w:val="ka-GE"/>
        </w:rPr>
        <w:t>,</w:t>
      </w:r>
      <w:r w:rsidR="002A28A2" w:rsidRPr="00BA1D91">
        <w:rPr>
          <w:sz w:val="22"/>
          <w:lang w:val="ka-GE"/>
        </w:rPr>
        <w:t xml:space="preserve"> არ არის მატება </w:t>
      </w:r>
      <w:r w:rsidR="00460A14" w:rsidRPr="00BA1D91">
        <w:rPr>
          <w:sz w:val="22"/>
          <w:lang w:val="ka-GE"/>
        </w:rPr>
        <w:t>ზოგადად</w:t>
      </w:r>
      <w:r w:rsidR="00F1233C" w:rsidRPr="00BA1D91">
        <w:rPr>
          <w:sz w:val="22"/>
          <w:lang w:val="ka-GE"/>
        </w:rPr>
        <w:t>,</w:t>
      </w:r>
      <w:r w:rsidR="00460A14" w:rsidRPr="00BA1D91">
        <w:rPr>
          <w:sz w:val="22"/>
          <w:lang w:val="ka-GE"/>
        </w:rPr>
        <w:t xml:space="preserve"> </w:t>
      </w:r>
      <w:r w:rsidR="002A28A2" w:rsidRPr="00BA1D91">
        <w:rPr>
          <w:sz w:val="22"/>
          <w:lang w:val="ka-GE"/>
        </w:rPr>
        <w:t>პნევმონიების და სიკვდ</w:t>
      </w:r>
      <w:r w:rsidR="001B2893" w:rsidRPr="00BA1D91">
        <w:rPr>
          <w:sz w:val="22"/>
          <w:lang w:val="ka-GE"/>
        </w:rPr>
        <w:t>ი</w:t>
      </w:r>
      <w:r w:rsidR="002A28A2" w:rsidRPr="00BA1D91">
        <w:rPr>
          <w:sz w:val="22"/>
          <w:lang w:val="ka-GE"/>
        </w:rPr>
        <w:t>ლიანობის მაჩვენებლებში, რაც გვა</w:t>
      </w:r>
      <w:r w:rsidR="00546891" w:rsidRPr="00BA1D91">
        <w:rPr>
          <w:sz w:val="22"/>
          <w:lang w:val="ka-GE"/>
        </w:rPr>
        <w:t>ძ</w:t>
      </w:r>
      <w:r w:rsidR="002A28A2" w:rsidRPr="00BA1D91">
        <w:rPr>
          <w:sz w:val="22"/>
          <w:lang w:val="ka-GE"/>
        </w:rPr>
        <w:t>ლევს იმის დადასტურების საშუალ</w:t>
      </w:r>
      <w:r w:rsidR="00D4602D" w:rsidRPr="00BA1D91">
        <w:rPr>
          <w:sz w:val="22"/>
          <w:lang w:val="ka-GE"/>
        </w:rPr>
        <w:t>ებას</w:t>
      </w:r>
      <w:r w:rsidR="00460A14" w:rsidRPr="00BA1D91">
        <w:rPr>
          <w:sz w:val="22"/>
          <w:lang w:val="ka-GE"/>
        </w:rPr>
        <w:t>,</w:t>
      </w:r>
      <w:r w:rsidR="00D4602D" w:rsidRPr="00BA1D91">
        <w:rPr>
          <w:sz w:val="22"/>
          <w:lang w:val="ka-GE"/>
        </w:rPr>
        <w:t xml:space="preserve"> რომ კორონავირუსის გავრცელება </w:t>
      </w:r>
      <w:r w:rsidR="00460A14" w:rsidRPr="00BA1D91">
        <w:rPr>
          <w:sz w:val="22"/>
          <w:lang w:val="ka-GE"/>
        </w:rPr>
        <w:t xml:space="preserve">ქვეყანაში </w:t>
      </w:r>
      <w:r w:rsidR="00D4602D" w:rsidRPr="00BA1D91">
        <w:rPr>
          <w:sz w:val="22"/>
          <w:lang w:val="ka-GE"/>
        </w:rPr>
        <w:t>არ არის ბევრად მაღალი</w:t>
      </w:r>
      <w:r w:rsidR="00460A14" w:rsidRPr="00BA1D91">
        <w:rPr>
          <w:sz w:val="22"/>
          <w:lang w:val="ka-GE"/>
        </w:rPr>
        <w:t>,</w:t>
      </w:r>
      <w:r w:rsidR="00D4602D" w:rsidRPr="00BA1D91">
        <w:rPr>
          <w:sz w:val="22"/>
          <w:lang w:val="ka-GE"/>
        </w:rPr>
        <w:t xml:space="preserve"> ვიდრე </w:t>
      </w:r>
      <w:r w:rsidR="00460A14" w:rsidRPr="00BA1D91">
        <w:rPr>
          <w:sz w:val="22"/>
          <w:lang w:val="ka-GE"/>
        </w:rPr>
        <w:t xml:space="preserve">გვაქვს </w:t>
      </w:r>
      <w:r w:rsidR="00D4602D" w:rsidRPr="00BA1D91">
        <w:rPr>
          <w:sz w:val="22"/>
          <w:lang w:val="ka-GE"/>
        </w:rPr>
        <w:t>ოფიციალური მონაცემები</w:t>
      </w:r>
      <w:r w:rsidR="00460A14" w:rsidRPr="00BA1D91">
        <w:rPr>
          <w:sz w:val="22"/>
          <w:lang w:val="ka-GE"/>
        </w:rPr>
        <w:t>თ</w:t>
      </w:r>
      <w:r w:rsidR="00D4602D" w:rsidRPr="00BA1D91">
        <w:rPr>
          <w:sz w:val="22"/>
          <w:lang w:val="ka-GE"/>
        </w:rPr>
        <w:t xml:space="preserve">. </w:t>
      </w:r>
    </w:p>
    <w:p w14:paraId="569EA79B" w14:textId="4D6E2C12" w:rsidR="00D4602D" w:rsidRPr="00BA1D91" w:rsidRDefault="00D4602D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ბატონმა ამირ</w:t>
      </w:r>
      <w:r w:rsidR="00460A14" w:rsidRPr="00BA1D91">
        <w:rPr>
          <w:sz w:val="22"/>
          <w:lang w:val="ka-GE"/>
        </w:rPr>
        <w:t>ა</w:t>
      </w:r>
      <w:r w:rsidRPr="00BA1D91">
        <w:rPr>
          <w:sz w:val="22"/>
          <w:lang w:val="ka-GE"/>
        </w:rPr>
        <w:t>ნმა</w:t>
      </w:r>
      <w:r w:rsidR="00460A14" w:rsidRPr="00BA1D91">
        <w:rPr>
          <w:sz w:val="22"/>
          <w:lang w:val="ka-GE"/>
        </w:rPr>
        <w:t>, ასევე</w:t>
      </w:r>
      <w:r w:rsidRPr="00BA1D91">
        <w:rPr>
          <w:sz w:val="22"/>
          <w:lang w:val="ka-GE"/>
        </w:rPr>
        <w:t xml:space="preserve"> აღნიშნა</w:t>
      </w:r>
      <w:r w:rsidR="00460A14" w:rsidRPr="00BA1D91">
        <w:rPr>
          <w:sz w:val="22"/>
          <w:lang w:val="ka-GE"/>
        </w:rPr>
        <w:t>,</w:t>
      </w:r>
      <w:r w:rsidRPr="00BA1D91">
        <w:rPr>
          <w:sz w:val="22"/>
          <w:lang w:val="ka-GE"/>
        </w:rPr>
        <w:t xml:space="preserve"> რომ საქართველოში ჩამოვიდა 200 000 </w:t>
      </w:r>
      <w:r w:rsidR="00460A14" w:rsidRPr="00BA1D91">
        <w:rPr>
          <w:sz w:val="22"/>
          <w:lang w:val="ka-GE"/>
        </w:rPr>
        <w:t xml:space="preserve">ცალი ცხვირ-ხახის </w:t>
      </w:r>
      <w:r w:rsidRPr="00BA1D91">
        <w:rPr>
          <w:sz w:val="22"/>
          <w:lang w:val="ka-GE"/>
        </w:rPr>
        <w:t>ნაცხის ასაღები ჩხირი</w:t>
      </w:r>
      <w:r w:rsidR="00460A14" w:rsidRPr="00BA1D91">
        <w:rPr>
          <w:sz w:val="22"/>
          <w:lang w:val="ka-GE"/>
        </w:rPr>
        <w:t>,</w:t>
      </w:r>
      <w:r w:rsidRPr="00BA1D91">
        <w:rPr>
          <w:sz w:val="22"/>
          <w:lang w:val="ka-GE"/>
        </w:rPr>
        <w:t xml:space="preserve"> რომლის გადანაწილებაც შესაძლებელია </w:t>
      </w:r>
      <w:r w:rsidR="00460A14" w:rsidRPr="00BA1D91">
        <w:rPr>
          <w:sz w:val="22"/>
          <w:lang w:val="ka-GE"/>
        </w:rPr>
        <w:t xml:space="preserve">შესაბამის კლინიკებში ტესტირების გაფართოვებასთან ერთად. </w:t>
      </w:r>
    </w:p>
    <w:p w14:paraId="7F9E17D1" w14:textId="77777777" w:rsidR="00BA1D91" w:rsidRDefault="00BA1D91" w:rsidP="00412B2A">
      <w:pPr>
        <w:jc w:val="both"/>
        <w:rPr>
          <w:sz w:val="22"/>
          <w:lang w:val="ka-GE"/>
        </w:rPr>
      </w:pPr>
    </w:p>
    <w:p w14:paraId="0DEDF2E5" w14:textId="5D32C435" w:rsidR="00D4602D" w:rsidRPr="00BA1D91" w:rsidRDefault="00AE6E6A" w:rsidP="00412B2A">
      <w:pPr>
        <w:jc w:val="both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>მეორე საკითხად განხილული იყო გაფართო</w:t>
      </w:r>
      <w:r w:rsidR="00460A14" w:rsidRPr="00BA1D91">
        <w:rPr>
          <w:b/>
          <w:sz w:val="22"/>
          <w:lang w:val="ka-GE"/>
        </w:rPr>
        <w:t>ვ</w:t>
      </w:r>
      <w:r w:rsidRPr="00BA1D91">
        <w:rPr>
          <w:b/>
          <w:sz w:val="22"/>
          <w:lang w:val="ka-GE"/>
        </w:rPr>
        <w:t>ებული ტესტირებისთვის პრიორიტეტული ჯგუფები</w:t>
      </w:r>
      <w:r w:rsidR="00460A14" w:rsidRPr="00BA1D91">
        <w:rPr>
          <w:b/>
          <w:sz w:val="22"/>
          <w:lang w:val="ka-GE"/>
        </w:rPr>
        <w:t>ს განსაზღვრა</w:t>
      </w:r>
      <w:r w:rsidRPr="00BA1D91">
        <w:rPr>
          <w:b/>
          <w:sz w:val="22"/>
          <w:lang w:val="ka-GE"/>
        </w:rPr>
        <w:t xml:space="preserve">. </w:t>
      </w:r>
    </w:p>
    <w:p w14:paraId="7C8BFA34" w14:textId="0147FAA9" w:rsidR="00D4602D" w:rsidRPr="00BA1D91" w:rsidRDefault="00460A14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სხდომაზე გამოთქმული მოსაზრებების და მსჯელობის გათვალისწინებით, გაფართოვებული ტესტირებისათვი</w:t>
      </w:r>
      <w:r w:rsidR="00F1233C" w:rsidRPr="00BA1D91">
        <w:rPr>
          <w:sz w:val="22"/>
          <w:lang w:val="ka-GE"/>
        </w:rPr>
        <w:t>ს</w:t>
      </w:r>
      <w:r w:rsidRPr="00BA1D91">
        <w:rPr>
          <w:sz w:val="22"/>
          <w:lang w:val="ka-GE"/>
        </w:rPr>
        <w:t xml:space="preserve"> </w:t>
      </w:r>
      <w:r w:rsidR="00D4602D" w:rsidRPr="00BA1D91">
        <w:rPr>
          <w:sz w:val="22"/>
          <w:lang w:val="ka-GE"/>
        </w:rPr>
        <w:t>შესაძლო სამიზნე ჯგუფები</w:t>
      </w:r>
      <w:r w:rsidRPr="00BA1D91">
        <w:rPr>
          <w:sz w:val="22"/>
          <w:lang w:val="ka-GE"/>
        </w:rPr>
        <w:t xml:space="preserve"> განისაზღვრა შემდეგი სახით:</w:t>
      </w:r>
    </w:p>
    <w:p w14:paraId="210A93E1" w14:textId="58848ABB" w:rsidR="00D4602D" w:rsidRPr="00BA1D91" w:rsidRDefault="00D4602D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ყველა ადამიანი</w:t>
      </w:r>
      <w:r w:rsidR="00460A14" w:rsidRPr="00BA1D91">
        <w:rPr>
          <w:sz w:val="22"/>
          <w:lang w:val="ka-GE"/>
        </w:rPr>
        <w:t>,</w:t>
      </w:r>
      <w:r w:rsidRPr="00BA1D91">
        <w:rPr>
          <w:sz w:val="22"/>
          <w:lang w:val="ka-GE"/>
        </w:rPr>
        <w:t xml:space="preserve"> </w:t>
      </w:r>
      <w:r w:rsidR="00460A14" w:rsidRPr="00BA1D91">
        <w:rPr>
          <w:sz w:val="22"/>
          <w:lang w:val="ka-GE"/>
        </w:rPr>
        <w:t xml:space="preserve">რომლის მდგომარეობაც შემთხვევის სტანდარტულ </w:t>
      </w:r>
      <w:r w:rsidRPr="00BA1D91">
        <w:rPr>
          <w:sz w:val="22"/>
          <w:lang w:val="ka-GE"/>
        </w:rPr>
        <w:t xml:space="preserve">განმარტებას ექვემდებარება. </w:t>
      </w:r>
      <w:r w:rsidR="00460A14" w:rsidRPr="00BA1D91">
        <w:rPr>
          <w:sz w:val="22"/>
          <w:lang w:val="ka-GE"/>
        </w:rPr>
        <w:t>ასევე, დადასტურებული შემთხვევების კონტაქტები;</w:t>
      </w:r>
    </w:p>
    <w:p w14:paraId="2DD7E34D" w14:textId="6FCB055E" w:rsidR="00AE6E6A" w:rsidRPr="00BA1D91" w:rsidRDefault="00460A14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,,</w:t>
      </w:r>
      <w:r w:rsidR="00D4602D" w:rsidRPr="00BA1D91">
        <w:rPr>
          <w:sz w:val="22"/>
          <w:lang w:val="ka-GE"/>
        </w:rPr>
        <w:t>ცხელების</w:t>
      </w:r>
      <w:r w:rsidRPr="00BA1D91">
        <w:rPr>
          <w:sz w:val="22"/>
          <w:lang w:val="ka-GE"/>
        </w:rPr>
        <w:t>“</w:t>
      </w:r>
      <w:r w:rsidR="00D4602D" w:rsidRPr="00BA1D91">
        <w:rPr>
          <w:sz w:val="22"/>
          <w:lang w:val="ka-GE"/>
        </w:rPr>
        <w:t xml:space="preserve"> და </w:t>
      </w:r>
      <w:r w:rsidRPr="00BA1D91">
        <w:rPr>
          <w:sz w:val="22"/>
          <w:lang w:val="ka-GE"/>
        </w:rPr>
        <w:t>,,</w:t>
      </w:r>
      <w:r w:rsidR="00D4602D" w:rsidRPr="00BA1D91">
        <w:rPr>
          <w:sz w:val="22"/>
          <w:lang w:val="ka-GE"/>
        </w:rPr>
        <w:t>კოვიდის</w:t>
      </w:r>
      <w:r w:rsidRPr="00BA1D91">
        <w:rPr>
          <w:sz w:val="22"/>
          <w:lang w:val="ka-GE"/>
        </w:rPr>
        <w:t>“</w:t>
      </w:r>
      <w:r w:rsidR="00D4602D" w:rsidRPr="00BA1D91">
        <w:rPr>
          <w:sz w:val="22"/>
          <w:lang w:val="ka-GE"/>
        </w:rPr>
        <w:t xml:space="preserve"> ცენტრების პაციენტები</w:t>
      </w:r>
      <w:r w:rsidRPr="00BA1D91">
        <w:rPr>
          <w:sz w:val="22"/>
          <w:lang w:val="ka-GE"/>
        </w:rPr>
        <w:t>;</w:t>
      </w:r>
      <w:r w:rsidR="00D4602D" w:rsidRPr="00BA1D91">
        <w:rPr>
          <w:sz w:val="22"/>
          <w:lang w:val="ka-GE"/>
        </w:rPr>
        <w:t xml:space="preserve"> </w:t>
      </w:r>
    </w:p>
    <w:p w14:paraId="4E37BC2A" w14:textId="22C3B628" w:rsidR="00D4602D" w:rsidRPr="00BA1D91" w:rsidRDefault="00460A14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ნებისმიერ</w:t>
      </w:r>
      <w:r w:rsidR="00D4602D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t>სტაციონა</w:t>
      </w:r>
      <w:r w:rsidR="00D4602D" w:rsidRPr="00BA1D91">
        <w:rPr>
          <w:sz w:val="22"/>
          <w:lang w:val="ka-GE"/>
        </w:rPr>
        <w:t>რში ცხელებით და პნევმონიით</w:t>
      </w:r>
      <w:r w:rsidR="000F2022" w:rsidRPr="00BA1D91">
        <w:rPr>
          <w:sz w:val="22"/>
          <w:lang w:val="ka-GE"/>
        </w:rPr>
        <w:t xml:space="preserve"> </w:t>
      </w:r>
      <w:r w:rsidRPr="00BA1D91">
        <w:rPr>
          <w:sz w:val="22"/>
          <w:lang w:val="ka-GE"/>
        </w:rPr>
        <w:t xml:space="preserve">მოხვედრილი  </w:t>
      </w:r>
      <w:r w:rsidR="00AE6E6A" w:rsidRPr="00BA1D91">
        <w:rPr>
          <w:sz w:val="22"/>
          <w:lang w:val="ka-GE"/>
        </w:rPr>
        <w:t>ყველა პაციენტ</w:t>
      </w:r>
      <w:r w:rsidR="000F2022" w:rsidRPr="00BA1D91">
        <w:rPr>
          <w:sz w:val="22"/>
          <w:lang w:val="ka-GE"/>
        </w:rPr>
        <w:t xml:space="preserve">ი. </w:t>
      </w:r>
    </w:p>
    <w:p w14:paraId="4B3A8421" w14:textId="77777777" w:rsidR="00D4602D" w:rsidRPr="00BA1D91" w:rsidRDefault="00D4602D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ცხელების და კოვიდის კლინიკების სრული </w:t>
      </w:r>
      <w:r w:rsidR="00AE6E6A" w:rsidRPr="00BA1D91">
        <w:rPr>
          <w:sz w:val="22"/>
          <w:lang w:val="ka-GE"/>
        </w:rPr>
        <w:t xml:space="preserve"> სამედიცინო </w:t>
      </w:r>
      <w:r w:rsidRPr="00BA1D91">
        <w:rPr>
          <w:sz w:val="22"/>
          <w:lang w:val="ka-GE"/>
        </w:rPr>
        <w:t xml:space="preserve">პერსონალი (ორ </w:t>
      </w:r>
      <w:r w:rsidR="00AE6E6A" w:rsidRPr="00BA1D91">
        <w:rPr>
          <w:sz w:val="22"/>
          <w:lang w:val="ka-GE"/>
        </w:rPr>
        <w:t>კვირაშ</w:t>
      </w:r>
      <w:r w:rsidRPr="00BA1D91">
        <w:rPr>
          <w:sz w:val="22"/>
          <w:lang w:val="ka-GE"/>
        </w:rPr>
        <w:t xml:space="preserve">ი ერთხელ)  </w:t>
      </w:r>
    </w:p>
    <w:p w14:paraId="1EEBBCE8" w14:textId="77777777" w:rsidR="00390692" w:rsidRPr="00BA1D91" w:rsidRDefault="00390692" w:rsidP="00390692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სასწრაფო სამედიცინო გადაუდებელი დახმარების და კატასტროფის ბრიგადების თანამშრომლები</w:t>
      </w:r>
    </w:p>
    <w:p w14:paraId="1FFF8C98" w14:textId="5E39092B" w:rsidR="000F2022" w:rsidRPr="00BA1D91" w:rsidRDefault="00390692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ყველა სტაციონარული სამედიცინო დაწესებულების მიმღების, ინტენსიური თერაპიისა და რეანიმაციულ განყოფილებებში დასაქმებული პერსონალი და ეპიდემიოლოგები; ნსდს-სა და საზოგადოებრივი ჯანდაცვის ცენტრების </w:t>
      </w:r>
      <w:r w:rsidR="00D4602D" w:rsidRPr="00BA1D91">
        <w:rPr>
          <w:sz w:val="22"/>
          <w:lang w:val="ka-GE"/>
        </w:rPr>
        <w:t>ეპიდემიოლოგები</w:t>
      </w:r>
      <w:r w:rsidR="00B23EB6" w:rsidRPr="00BA1D91">
        <w:rPr>
          <w:sz w:val="22"/>
          <w:lang w:val="ka-GE"/>
        </w:rPr>
        <w:t xml:space="preserve"> ორ კვირაში ერთხელ </w:t>
      </w:r>
      <w:r w:rsidR="00D4602D" w:rsidRPr="00BA1D91">
        <w:rPr>
          <w:sz w:val="22"/>
          <w:lang w:val="ka-GE"/>
        </w:rPr>
        <w:t xml:space="preserve"> </w:t>
      </w:r>
    </w:p>
    <w:p w14:paraId="29C162D6" w14:textId="77777777" w:rsidR="00390692" w:rsidRPr="00BA1D91" w:rsidRDefault="00390692" w:rsidP="00390692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საკარანტინე სივრცეებში მყოფი პირები საკარანტინე სივრცის  დატოვებამდე</w:t>
      </w:r>
      <w:r w:rsidRPr="00BA1D91">
        <w:rPr>
          <w:sz w:val="22"/>
        </w:rPr>
        <w:t xml:space="preserve">, </w:t>
      </w:r>
      <w:r w:rsidRPr="00BA1D91">
        <w:rPr>
          <w:sz w:val="22"/>
          <w:lang w:val="ka-GE"/>
        </w:rPr>
        <w:t>ასევე, საკარანტინე სივრცეებში მომუშავე პერსონალი</w:t>
      </w:r>
    </w:p>
    <w:p w14:paraId="7AF96762" w14:textId="77777777" w:rsidR="000F2022" w:rsidRPr="00BA1D91" w:rsidRDefault="00B23EB6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ხანდაზმულთა და შშმპ თავშესაფრების ბენეფიციარები და პერსონალი </w:t>
      </w:r>
    </w:p>
    <w:p w14:paraId="15AFBE01" w14:textId="4BA55C06" w:rsidR="000F2022" w:rsidRPr="00BA1D91" w:rsidRDefault="00B23EB6" w:rsidP="00412B2A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სასაზღვრო გამშვებ პუნქტებზე </w:t>
      </w:r>
      <w:r w:rsidR="00390692" w:rsidRPr="00BA1D91">
        <w:rPr>
          <w:sz w:val="22"/>
          <w:lang w:val="ka-GE"/>
        </w:rPr>
        <w:t>დასაქმებული პირები</w:t>
      </w:r>
    </w:p>
    <w:p w14:paraId="5EFCB087" w14:textId="77777777" w:rsidR="00390692" w:rsidRPr="00BA1D91" w:rsidRDefault="00390692" w:rsidP="00390692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ახალი კორონავირუსის პჯრ ლაბორატორიულ დიაგნოსტიკაში ჩართული პერსონალი;</w:t>
      </w:r>
    </w:p>
    <w:p w14:paraId="1F0D08DB" w14:textId="77777777" w:rsidR="00390692" w:rsidRPr="00BA1D91" w:rsidRDefault="00390692" w:rsidP="00390692">
      <w:pPr>
        <w:pStyle w:val="ListParagraph"/>
        <w:numPr>
          <w:ilvl w:val="0"/>
          <w:numId w:val="3"/>
        </w:num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ტუბერკულოზზე ახლად დიაგნოსტირებული ყველა პირი, შესაბამის მკურნალობაში ჩართვამდე</w:t>
      </w:r>
    </w:p>
    <w:p w14:paraId="52197CEB" w14:textId="77777777" w:rsidR="00B23EB6" w:rsidRPr="00BA1D91" w:rsidRDefault="00B23EB6" w:rsidP="00412B2A">
      <w:pPr>
        <w:pStyle w:val="ListParagraph"/>
        <w:jc w:val="both"/>
        <w:rPr>
          <w:sz w:val="22"/>
          <w:lang w:val="ka-GE"/>
        </w:rPr>
      </w:pPr>
    </w:p>
    <w:p w14:paraId="36DA2886" w14:textId="77777777" w:rsidR="00B23EB6" w:rsidRPr="00BA1D91" w:rsidRDefault="00B23EB6" w:rsidP="00412B2A">
      <w:pPr>
        <w:pStyle w:val="ListParagraph"/>
        <w:jc w:val="both"/>
        <w:rPr>
          <w:b/>
          <w:sz w:val="22"/>
          <w:lang w:val="ka-GE"/>
        </w:rPr>
      </w:pPr>
    </w:p>
    <w:p w14:paraId="6A517EC2" w14:textId="77777777" w:rsidR="00B23EB6" w:rsidRPr="00BA1D91" w:rsidRDefault="00B23EB6" w:rsidP="00412B2A">
      <w:pPr>
        <w:pStyle w:val="ListParagraph"/>
        <w:jc w:val="both"/>
        <w:rPr>
          <w:sz w:val="22"/>
          <w:lang w:val="ka-GE"/>
        </w:rPr>
      </w:pPr>
    </w:p>
    <w:p w14:paraId="17C21EDF" w14:textId="77777777" w:rsidR="00E16970" w:rsidRPr="00BA1D91" w:rsidRDefault="00CA1766" w:rsidP="00CA1766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lastRenderedPageBreak/>
        <w:t xml:space="preserve">სხდომაზე განხილულ იქნა აღნიშნული ჯგუფების ტესტირების შესაძლო მეთოდები. მიზანშეწონილად ჩაითვალა, უპირატესად პჯრ ტესტირების ჩატარება, „ახალი კორონავირუსით (SARS - COV-2) გამოწვეული ინფექციის (COVID-19) ლაბორატორიული დიაგნოსტიკის ალგორითმის დამტკიცების თაობაზე“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პირველი აპრილის  N01-144/ო ბრძანების შესაბამისად. </w:t>
      </w:r>
    </w:p>
    <w:p w14:paraId="0D2719D8" w14:textId="77777777" w:rsidR="006149F6" w:rsidRPr="00BA1D91" w:rsidRDefault="00B23EB6" w:rsidP="00412B2A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>ქალბატონმა თამარ გაბუნიამ</w:t>
      </w:r>
      <w:r w:rsidRPr="00BA1D91">
        <w:rPr>
          <w:sz w:val="22"/>
          <w:lang w:val="ka-GE"/>
        </w:rPr>
        <w:t xml:space="preserve"> წამოაყენა</w:t>
      </w:r>
      <w:r w:rsidR="006149F6" w:rsidRPr="00BA1D91">
        <w:rPr>
          <w:sz w:val="22"/>
          <w:lang w:val="ka-GE"/>
        </w:rPr>
        <w:t xml:space="preserve"> </w:t>
      </w:r>
      <w:r w:rsidR="00CA1766" w:rsidRPr="00BA1D91">
        <w:rPr>
          <w:sz w:val="22"/>
          <w:lang w:val="ka-GE"/>
        </w:rPr>
        <w:t xml:space="preserve">სამომავლოდ </w:t>
      </w:r>
      <w:r w:rsidR="006149F6" w:rsidRPr="00BA1D91">
        <w:rPr>
          <w:sz w:val="22"/>
          <w:lang w:val="ka-GE"/>
        </w:rPr>
        <w:t>ტესტირების</w:t>
      </w:r>
      <w:r w:rsidRPr="00BA1D91">
        <w:rPr>
          <w:sz w:val="22"/>
          <w:lang w:val="ka-GE"/>
        </w:rPr>
        <w:t xml:space="preserve"> </w:t>
      </w:r>
      <w:r w:rsidR="006149F6" w:rsidRPr="00BA1D91">
        <w:rPr>
          <w:sz w:val="22"/>
          <w:lang w:val="ka-GE"/>
        </w:rPr>
        <w:t>ამბულატორიულად</w:t>
      </w:r>
      <w:r w:rsidRPr="00BA1D91">
        <w:rPr>
          <w:sz w:val="22"/>
          <w:lang w:val="ka-GE"/>
        </w:rPr>
        <w:t xml:space="preserve"> </w:t>
      </w:r>
      <w:r w:rsidR="006149F6" w:rsidRPr="00BA1D91">
        <w:rPr>
          <w:sz w:val="22"/>
          <w:lang w:val="ka-GE"/>
        </w:rPr>
        <w:t xml:space="preserve">ჩატარების პერსპექტივა. </w:t>
      </w:r>
    </w:p>
    <w:p w14:paraId="30173C3A" w14:textId="3C2D906B" w:rsidR="00B23EB6" w:rsidRPr="00BA1D91" w:rsidRDefault="006149F6" w:rsidP="00412B2A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>ბატონმა პაატა</w:t>
      </w:r>
      <w:r w:rsidRPr="00BA1D91">
        <w:rPr>
          <w:sz w:val="22"/>
          <w:lang w:val="ka-GE"/>
        </w:rPr>
        <w:t xml:space="preserve"> იმნაძემ აღნიშნა, რომ ცხელების კლინიკებში ტესტზე უარყოფითი პასუხის მიღების შემდეგ პაციენტები გადაჰყავთ კარანტინში</w:t>
      </w:r>
      <w:r w:rsidR="002D48E5" w:rsidRPr="00BA1D91">
        <w:rPr>
          <w:sz w:val="22"/>
          <w:lang w:val="ka-GE"/>
        </w:rPr>
        <w:t xml:space="preserve"> 14 დღით,</w:t>
      </w:r>
      <w:r w:rsidRPr="00BA1D91">
        <w:rPr>
          <w:sz w:val="22"/>
          <w:lang w:val="ka-GE"/>
        </w:rPr>
        <w:t xml:space="preserve"> რაც იწვევს კლინიკაში მისვლისაგან თავის არიდებას</w:t>
      </w:r>
      <w:r w:rsidR="002D48E5" w:rsidRPr="00BA1D91">
        <w:rPr>
          <w:sz w:val="22"/>
          <w:lang w:val="ka-GE"/>
        </w:rPr>
        <w:t xml:space="preserve"> და მნიშვნელოვანია მექანიზმის შემუშავება, რაც შეამცირებს პაციენტის დაყოვნების დროს</w:t>
      </w:r>
    </w:p>
    <w:p w14:paraId="066E3EDC" w14:textId="49006928" w:rsidR="006149F6" w:rsidRPr="00BA1D91" w:rsidRDefault="006149F6" w:rsidP="00412B2A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>მინისტრმა</w:t>
      </w:r>
      <w:r w:rsidR="00F1233C" w:rsidRPr="00BA1D91">
        <w:rPr>
          <w:b/>
          <w:sz w:val="22"/>
          <w:lang w:val="ka-GE"/>
        </w:rPr>
        <w:t>,</w:t>
      </w:r>
      <w:r w:rsidRPr="00BA1D91">
        <w:rPr>
          <w:b/>
          <w:sz w:val="22"/>
          <w:lang w:val="ka-GE"/>
        </w:rPr>
        <w:t xml:space="preserve"> </w:t>
      </w:r>
      <w:r w:rsidR="00546891" w:rsidRPr="00BA1D91">
        <w:rPr>
          <w:b/>
          <w:sz w:val="22"/>
          <w:lang w:val="ka-GE"/>
        </w:rPr>
        <w:t xml:space="preserve"> </w:t>
      </w:r>
      <w:r w:rsidR="00546891" w:rsidRPr="00BA1D91">
        <w:rPr>
          <w:sz w:val="22"/>
          <w:lang w:val="ka-GE"/>
        </w:rPr>
        <w:t xml:space="preserve">კარანტინში დაყოვნების დროის შემცირების მიზნით, </w:t>
      </w:r>
      <w:r w:rsidR="002D48E5" w:rsidRPr="00BA1D91">
        <w:rPr>
          <w:sz w:val="22"/>
          <w:lang w:val="ka-GE"/>
        </w:rPr>
        <w:t xml:space="preserve">ჯგუფს შესთავაზა </w:t>
      </w:r>
      <w:r w:rsidR="00546891" w:rsidRPr="00BA1D91">
        <w:rPr>
          <w:sz w:val="22"/>
          <w:lang w:val="ka-GE"/>
        </w:rPr>
        <w:t>პჯრ უარყოფითი პაციენტების, რომელთაც აღენიშნებათ სიმტომები, კომპიუტერულ ტომოგრაფიაზე შემოწმების იდეა</w:t>
      </w:r>
      <w:r w:rsidR="002D48E5" w:rsidRPr="00BA1D91">
        <w:rPr>
          <w:sz w:val="22"/>
          <w:lang w:val="ka-GE"/>
        </w:rPr>
        <w:t>.</w:t>
      </w:r>
      <w:r w:rsidR="00546891" w:rsidRPr="00BA1D91">
        <w:rPr>
          <w:sz w:val="22"/>
          <w:lang w:val="ka-GE"/>
        </w:rPr>
        <w:t xml:space="preserve"> </w:t>
      </w:r>
    </w:p>
    <w:p w14:paraId="4E6E43D4" w14:textId="77777777" w:rsidR="00B23EB6" w:rsidRPr="00BA1D91" w:rsidRDefault="002D48E5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გამოითქვა მოსაზრება, რომ შესაძლოა კომპიუტერულ ტომოგრაფიაზე შემოწმება ჩაუტარდეს პჯრ </w:t>
      </w:r>
      <w:r w:rsidR="00F1233C" w:rsidRPr="00BA1D91">
        <w:rPr>
          <w:sz w:val="22"/>
          <w:lang w:val="ka-GE"/>
        </w:rPr>
        <w:t xml:space="preserve">ტესტირების </w:t>
      </w:r>
      <w:r w:rsidRPr="00BA1D91">
        <w:rPr>
          <w:sz w:val="22"/>
          <w:lang w:val="ka-GE"/>
        </w:rPr>
        <w:t>უარყოფითი შედეგის მქონე იმ პაციენტებს, რომლებსაც დამატებით ანტისხეულებზე ტესტირებისას გამოუვლინდათ (IgM) დადებითი პასუხი.</w:t>
      </w:r>
    </w:p>
    <w:p w14:paraId="772D07E9" w14:textId="550874C3" w:rsidR="002D48E5" w:rsidRPr="00BA1D91" w:rsidRDefault="002D48E5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აღნიშნული საკითხი დამატებით განხილულ იქნება კლინიკური ჯგუფის ფარგლებში</w:t>
      </w:r>
      <w:r w:rsidR="00BA1D91">
        <w:rPr>
          <w:sz w:val="22"/>
          <w:lang w:val="ka-GE"/>
        </w:rPr>
        <w:t>.</w:t>
      </w:r>
    </w:p>
    <w:p w14:paraId="15956511" w14:textId="77777777" w:rsidR="00D4602D" w:rsidRPr="00BA1D91" w:rsidRDefault="00D4602D" w:rsidP="00412B2A">
      <w:pPr>
        <w:jc w:val="both"/>
        <w:rPr>
          <w:sz w:val="22"/>
          <w:lang w:val="ka-GE"/>
        </w:rPr>
      </w:pPr>
    </w:p>
    <w:p w14:paraId="7AE9B739" w14:textId="4995333C" w:rsidR="000F2022" w:rsidRPr="00BA1D91" w:rsidRDefault="00AE6E6A" w:rsidP="00412B2A">
      <w:pPr>
        <w:jc w:val="both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 xml:space="preserve">მესამე საკითხად განხილული იქნა  </w:t>
      </w:r>
      <w:r w:rsidR="001B2893" w:rsidRPr="00BA1D91">
        <w:rPr>
          <w:b/>
          <w:sz w:val="22"/>
          <w:lang w:val="ka-GE"/>
        </w:rPr>
        <w:t xml:space="preserve">ტესტირებისთვის საჭირო ტესტ-სისტემების  </w:t>
      </w:r>
      <w:r w:rsidR="000F2022" w:rsidRPr="00BA1D91">
        <w:rPr>
          <w:b/>
          <w:sz w:val="22"/>
          <w:lang w:val="ka-GE"/>
        </w:rPr>
        <w:t>შესყიდვ</w:t>
      </w:r>
      <w:r w:rsidR="001B2893" w:rsidRPr="00BA1D91">
        <w:rPr>
          <w:b/>
          <w:sz w:val="22"/>
          <w:lang w:val="ka-GE"/>
        </w:rPr>
        <w:t>ისა და ლაბორატორიული სიმძლავრეების გაუმჯობესების საკითხი.</w:t>
      </w:r>
    </w:p>
    <w:p w14:paraId="7326FABE" w14:textId="77777777" w:rsidR="001B2893" w:rsidRPr="00BA1D91" w:rsidRDefault="00591E4E" w:rsidP="00412B2A">
      <w:pPr>
        <w:jc w:val="both"/>
        <w:rPr>
          <w:b/>
          <w:sz w:val="22"/>
          <w:lang w:val="ka-GE"/>
        </w:rPr>
      </w:pPr>
      <w:r w:rsidRPr="00BA1D91">
        <w:rPr>
          <w:b/>
          <w:sz w:val="22"/>
          <w:lang w:val="ka-GE"/>
        </w:rPr>
        <w:t xml:space="preserve">კიდევ ერთხელ ხაზი გაესვა იმ გარემოებას, რომ ტესტირების გაფართოვებასთან ერთად, დავდგებით ისეთი გამოწვევების წინაშე, როგორიცაა ლაბორატორიული სიმძლავრეების ნაკლებობა და ტესტ-სისტემების სიმცირე. ამდენად მიზანშეწონილია, აქტივობების გაგრძელება ამ მიმართულებით. </w:t>
      </w:r>
    </w:p>
    <w:p w14:paraId="396E40BD" w14:textId="77777777" w:rsidR="00591E4E" w:rsidRPr="00BA1D91" w:rsidRDefault="00591E4E" w:rsidP="00591E4E">
      <w:pPr>
        <w:jc w:val="both"/>
        <w:rPr>
          <w:sz w:val="22"/>
          <w:lang w:val="ka-GE"/>
        </w:rPr>
      </w:pPr>
      <w:r w:rsidRPr="00BA1D91">
        <w:rPr>
          <w:rFonts w:cs="Sylfaen"/>
          <w:sz w:val="22"/>
          <w:lang w:val="ka-GE"/>
        </w:rPr>
        <w:t>კოვიდ</w:t>
      </w:r>
      <w:r w:rsidRPr="00BA1D91">
        <w:rPr>
          <w:sz w:val="22"/>
          <w:lang w:val="ka-GE"/>
        </w:rPr>
        <w:t xml:space="preserve"> 19-</w:t>
      </w:r>
      <w:r w:rsidRPr="00BA1D91">
        <w:rPr>
          <w:rFonts w:cs="Sylfaen"/>
          <w:sz w:val="22"/>
          <w:lang w:val="ka-GE"/>
        </w:rPr>
        <w:t>ზე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მაღალი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ხარისხის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პოლიმერაზულ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ჯაჭვური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რეაქციის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მეთოდით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ტესტირების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შესაძლებლობის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გაზრდის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მიზნით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დაავადებათა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კონტროლისა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და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საზოგადოებრივი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ჯანმრთელობის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დაცვის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ეროვნული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ცენტრის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რეკომენდაციით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მიზანშეწონილია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მაღალი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წარმადობის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ავტომატიზებული</w:t>
      </w:r>
      <w:r w:rsidRPr="00BA1D91">
        <w:rPr>
          <w:sz w:val="22"/>
          <w:lang w:val="ka-GE"/>
        </w:rPr>
        <w:t xml:space="preserve"> COBAS 6800  (მწარმოებელი Roche Diagnostic) </w:t>
      </w:r>
      <w:r w:rsidRPr="00BA1D91">
        <w:rPr>
          <w:rFonts w:cs="Sylfaen"/>
          <w:sz w:val="22"/>
          <w:lang w:val="ka-GE"/>
        </w:rPr>
        <w:t>აპარატების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შესყიდვა</w:t>
      </w:r>
      <w:r w:rsidRPr="00BA1D91">
        <w:rPr>
          <w:sz w:val="22"/>
          <w:lang w:val="ka-GE"/>
        </w:rPr>
        <w:t xml:space="preserve">. </w:t>
      </w:r>
      <w:r w:rsidRPr="00BA1D91">
        <w:rPr>
          <w:rFonts w:cs="Sylfaen"/>
          <w:sz w:val="22"/>
          <w:lang w:val="ka-GE"/>
        </w:rPr>
        <w:t>აღნიშნული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აპარატის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საშუალებით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შესაძლებელია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დღეში</w:t>
      </w:r>
      <w:r w:rsidRPr="00BA1D91">
        <w:rPr>
          <w:sz w:val="22"/>
          <w:lang w:val="ka-GE"/>
        </w:rPr>
        <w:t xml:space="preserve"> 2000 </w:t>
      </w:r>
      <w:r w:rsidRPr="00BA1D91">
        <w:rPr>
          <w:rFonts w:cs="Sylfaen"/>
          <w:sz w:val="22"/>
          <w:lang w:val="ka-GE"/>
        </w:rPr>
        <w:t>ტესტის</w:t>
      </w:r>
      <w:r w:rsidRPr="00BA1D91">
        <w:rPr>
          <w:sz w:val="22"/>
          <w:lang w:val="ka-GE"/>
        </w:rPr>
        <w:t xml:space="preserve"> </w:t>
      </w:r>
      <w:r w:rsidRPr="00BA1D91">
        <w:rPr>
          <w:rFonts w:cs="Sylfaen"/>
          <w:sz w:val="22"/>
          <w:lang w:val="ka-GE"/>
        </w:rPr>
        <w:t>შესრულება</w:t>
      </w:r>
      <w:r w:rsidRPr="00BA1D91">
        <w:rPr>
          <w:sz w:val="22"/>
          <w:lang w:val="ka-GE"/>
        </w:rPr>
        <w:t xml:space="preserve">. </w:t>
      </w:r>
    </w:p>
    <w:p w14:paraId="55B653EC" w14:textId="77777777" w:rsidR="00591E4E" w:rsidRPr="00BA1D91" w:rsidRDefault="00591E4E" w:rsidP="00591E4E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სხდომის მონაწილეების მიერ გამოხატულ იქნა დადებითი პოზიცია, აღნიშნული აპარატის შეძენასთან დაკავშირებით.</w:t>
      </w:r>
    </w:p>
    <w:p w14:paraId="4EBE6697" w14:textId="77777777" w:rsidR="001B2893" w:rsidRPr="00BA1D91" w:rsidRDefault="00591E4E" w:rsidP="00412B2A">
      <w:pPr>
        <w:jc w:val="both"/>
        <w:rPr>
          <w:b/>
          <w:sz w:val="22"/>
          <w:lang w:val="ka-GE"/>
        </w:rPr>
      </w:pPr>
      <w:r w:rsidRPr="00BA1D91">
        <w:rPr>
          <w:sz w:val="22"/>
          <w:lang w:val="ka-GE"/>
        </w:rPr>
        <w:t xml:space="preserve">ასევე, ჯგუფმა იმსჯელა ტესტ-სისტემების თემაზე. </w:t>
      </w:r>
    </w:p>
    <w:p w14:paraId="7972913C" w14:textId="3C8D64D4" w:rsidR="0052294C" w:rsidRPr="00BA1D91" w:rsidRDefault="00395164" w:rsidP="00412B2A">
      <w:pPr>
        <w:jc w:val="both"/>
        <w:rPr>
          <w:sz w:val="22"/>
          <w:lang w:val="ka-GE"/>
        </w:rPr>
      </w:pPr>
      <w:r w:rsidRPr="00BA1D91">
        <w:rPr>
          <w:b/>
          <w:sz w:val="22"/>
          <w:lang w:val="ka-GE"/>
        </w:rPr>
        <w:t>ბატონმა თენგიზ ცერცვაძემ</w:t>
      </w:r>
      <w:r w:rsidRPr="00BA1D91">
        <w:rPr>
          <w:sz w:val="22"/>
          <w:lang w:val="ka-GE"/>
        </w:rPr>
        <w:t xml:space="preserve">  ხაზი გაუსვა</w:t>
      </w:r>
      <w:r w:rsidR="000F2022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t>გრინ ლაბის  (</w:t>
      </w:r>
      <w:r w:rsidR="000F2022" w:rsidRPr="00BA1D91">
        <w:rPr>
          <w:sz w:val="22"/>
          <w:lang w:val="ka-GE"/>
        </w:rPr>
        <w:t>“Zhejiang Orient Gene Biotech Co”</w:t>
      </w:r>
      <w:r w:rsidR="00AE6E6A" w:rsidRPr="00BA1D91">
        <w:rPr>
          <w:sz w:val="22"/>
          <w:lang w:val="ka-GE"/>
        </w:rPr>
        <w:t xml:space="preserve">) </w:t>
      </w:r>
      <w:r w:rsidR="000F2022" w:rsidRPr="00BA1D91">
        <w:rPr>
          <w:sz w:val="22"/>
          <w:lang w:val="ka-GE"/>
        </w:rPr>
        <w:t xml:space="preserve">ანტისხეულის აღმომჩენი </w:t>
      </w:r>
      <w:r w:rsidR="00223482" w:rsidRPr="00BA1D91">
        <w:rPr>
          <w:sz w:val="22"/>
          <w:lang w:val="ka-GE"/>
        </w:rPr>
        <w:t>ტესტების სიზუსტეს</w:t>
      </w:r>
      <w:r w:rsidR="00591E4E" w:rsidRPr="00BA1D91">
        <w:rPr>
          <w:sz w:val="22"/>
          <w:lang w:val="ka-GE"/>
        </w:rPr>
        <w:t>.</w:t>
      </w:r>
      <w:r w:rsidR="00AE6E6A" w:rsidRPr="00BA1D91">
        <w:rPr>
          <w:sz w:val="22"/>
          <w:lang w:val="ka-GE"/>
        </w:rPr>
        <w:t xml:space="preserve"> მისი ინფორმაციით </w:t>
      </w:r>
      <w:r w:rsidR="00223482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t>ინფექციური პათოლოგიის, შიდსისა და კლინიკური იმუნოლოგიის სამეცნიერო-პრაქტიკულ</w:t>
      </w:r>
      <w:r w:rsidR="00591E4E" w:rsidRPr="00BA1D91">
        <w:rPr>
          <w:sz w:val="22"/>
          <w:lang w:val="ka-GE"/>
        </w:rPr>
        <w:t>მა</w:t>
      </w:r>
      <w:r w:rsidR="00AE6E6A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lastRenderedPageBreak/>
        <w:t>ცენტრმა ჩაატარა ტესტების წინასწარი შემოწმება სადაც</w:t>
      </w:r>
      <w:r w:rsidR="00223482" w:rsidRPr="00BA1D91">
        <w:rPr>
          <w:sz w:val="22"/>
          <w:lang w:val="ka-GE"/>
        </w:rPr>
        <w:t xml:space="preserve"> </w:t>
      </w:r>
      <w:r w:rsidR="00AE6E6A" w:rsidRPr="00BA1D91">
        <w:rPr>
          <w:sz w:val="22"/>
          <w:lang w:val="ka-GE"/>
        </w:rPr>
        <w:t xml:space="preserve">პჯრ ტექნოლოგიით დადასტურებულ </w:t>
      </w:r>
      <w:r w:rsidR="00591E4E" w:rsidRPr="00BA1D91">
        <w:rPr>
          <w:sz w:val="22"/>
          <w:lang w:val="ka-GE"/>
        </w:rPr>
        <w:t xml:space="preserve">30 </w:t>
      </w:r>
      <w:r w:rsidR="00AE6E6A" w:rsidRPr="00BA1D91">
        <w:rPr>
          <w:sz w:val="22"/>
          <w:lang w:val="ka-GE"/>
        </w:rPr>
        <w:t xml:space="preserve">შემთხვევაზე </w:t>
      </w:r>
      <w:r w:rsidR="00591E4E" w:rsidRPr="00BA1D91">
        <w:rPr>
          <w:sz w:val="22"/>
          <w:lang w:val="ka-GE"/>
        </w:rPr>
        <w:t xml:space="preserve">დამატებით </w:t>
      </w:r>
      <w:r w:rsidR="00AE6E6A" w:rsidRPr="00BA1D91">
        <w:rPr>
          <w:sz w:val="22"/>
          <w:lang w:val="ka-GE"/>
        </w:rPr>
        <w:t>ჩატარებულმა ანტისხეულის ა</w:t>
      </w:r>
      <w:r w:rsidR="00591E4E" w:rsidRPr="00BA1D91">
        <w:rPr>
          <w:sz w:val="22"/>
          <w:lang w:val="ka-GE"/>
        </w:rPr>
        <w:t>ღ</w:t>
      </w:r>
      <w:r w:rsidR="00AE6E6A" w:rsidRPr="00BA1D91">
        <w:rPr>
          <w:sz w:val="22"/>
          <w:lang w:val="ka-GE"/>
        </w:rPr>
        <w:t>მომჩენმა ტესტმა აჩვენა ზუსტი პასუხი</w:t>
      </w:r>
      <w:r w:rsidR="0052294C" w:rsidRPr="00BA1D91">
        <w:rPr>
          <w:sz w:val="22"/>
          <w:lang w:val="ka-GE"/>
        </w:rPr>
        <w:t>.</w:t>
      </w:r>
      <w:r w:rsidR="00AE6E6A" w:rsidRPr="00BA1D91">
        <w:rPr>
          <w:sz w:val="22"/>
          <w:lang w:val="ka-GE"/>
        </w:rPr>
        <w:t xml:space="preserve"> </w:t>
      </w:r>
      <w:r w:rsidR="0052294C" w:rsidRPr="00BA1D91">
        <w:rPr>
          <w:sz w:val="22"/>
          <w:lang w:val="ka-GE"/>
        </w:rPr>
        <w:t>კერძოდ,</w:t>
      </w:r>
    </w:p>
    <w:p w14:paraId="3B3A9798" w14:textId="77777777" w:rsidR="0052294C" w:rsidRPr="00BA1D91" w:rsidRDefault="0052294C" w:rsidP="0052294C">
      <w:pPr>
        <w:rPr>
          <w:rFonts w:cs="Helvetica"/>
          <w:sz w:val="22"/>
          <w:lang w:val="ka-GE"/>
        </w:rPr>
      </w:pPr>
      <w:r w:rsidRPr="00BA1D91">
        <w:rPr>
          <w:sz w:val="22"/>
          <w:lang w:val="ka-GE"/>
        </w:rPr>
        <w:t>8 ნიმუში SARS COV-2 PCR- ზე უარყოფითი, რვავე იყო ანტისხეულებზეც უარყოფითი.</w:t>
      </w:r>
    </w:p>
    <w:p w14:paraId="51D6722B" w14:textId="77777777" w:rsidR="0052294C" w:rsidRPr="00BA1D91" w:rsidRDefault="0052294C" w:rsidP="0052294C">
      <w:pPr>
        <w:rPr>
          <w:rFonts w:cs="Helvetica"/>
          <w:sz w:val="22"/>
          <w:lang w:val="ka-GE"/>
        </w:rPr>
      </w:pPr>
      <w:r w:rsidRPr="00BA1D91">
        <w:rPr>
          <w:sz w:val="22"/>
          <w:lang w:val="ka-GE"/>
        </w:rPr>
        <w:t> 22 ნიმუში SARS COV-2 PCR- ზე დადებითი, ოცდაორივე იყო ანტისხეულებზეც დადებითი. აქედან:</w:t>
      </w:r>
    </w:p>
    <w:p w14:paraId="2AE6AE32" w14:textId="77777777" w:rsidR="0052294C" w:rsidRPr="00BA1D91" w:rsidRDefault="0052294C" w:rsidP="0052294C">
      <w:pPr>
        <w:rPr>
          <w:rFonts w:cs="Helvetica"/>
          <w:sz w:val="22"/>
        </w:rPr>
      </w:pPr>
      <w:r w:rsidRPr="00BA1D91">
        <w:rPr>
          <w:sz w:val="22"/>
        </w:rPr>
        <w:t>1 ნიმუში იყო დადებითი კლინიკური ნიშნების გამოვლენიდან მე-3 დღეს.</w:t>
      </w:r>
    </w:p>
    <w:p w14:paraId="6EB56E15" w14:textId="77777777" w:rsidR="0052294C" w:rsidRPr="00BA1D91" w:rsidRDefault="0052294C" w:rsidP="0052294C">
      <w:pPr>
        <w:rPr>
          <w:rFonts w:cs="Helvetica"/>
          <w:sz w:val="22"/>
        </w:rPr>
      </w:pPr>
      <w:r w:rsidRPr="00BA1D91">
        <w:rPr>
          <w:sz w:val="22"/>
        </w:rPr>
        <w:t>2 ნიმუში იყო დადებითი კლინიკური ნიშნების გამოვლენიდან მე-4 დღეს.</w:t>
      </w:r>
    </w:p>
    <w:p w14:paraId="414D0521" w14:textId="77777777" w:rsidR="0052294C" w:rsidRPr="00BA1D91" w:rsidRDefault="0052294C" w:rsidP="0052294C">
      <w:pPr>
        <w:rPr>
          <w:rFonts w:cs="Helvetica"/>
          <w:sz w:val="22"/>
        </w:rPr>
      </w:pPr>
      <w:r w:rsidRPr="00BA1D91">
        <w:rPr>
          <w:sz w:val="22"/>
        </w:rPr>
        <w:t>19 ნიმუში იყო დადებითი კლინიკური ნიშნების გამოვლენიდან მე5-მე9 დღეებში. </w:t>
      </w:r>
    </w:p>
    <w:p w14:paraId="42CA933D" w14:textId="77777777" w:rsidR="0052294C" w:rsidRPr="00BA1D91" w:rsidRDefault="0052294C" w:rsidP="00412B2A">
      <w:pPr>
        <w:jc w:val="both"/>
        <w:rPr>
          <w:sz w:val="22"/>
          <w:lang w:val="ka-GE"/>
        </w:rPr>
      </w:pPr>
    </w:p>
    <w:p w14:paraId="707F533D" w14:textId="3ECC9055" w:rsidR="00395164" w:rsidRPr="00BA1D91" w:rsidRDefault="0052294C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ზემოაღნიშნულიდან გამომდინარე, </w:t>
      </w:r>
      <w:r w:rsidR="00AE6E6A" w:rsidRPr="00BA1D91">
        <w:rPr>
          <w:sz w:val="22"/>
          <w:lang w:val="ka-GE"/>
        </w:rPr>
        <w:t xml:space="preserve">ბატონმა თენგიზმა </w:t>
      </w:r>
      <w:r w:rsidR="00223482" w:rsidRPr="00BA1D91">
        <w:rPr>
          <w:sz w:val="22"/>
          <w:lang w:val="ka-GE"/>
        </w:rPr>
        <w:t xml:space="preserve"> მხარი დაუჭირა </w:t>
      </w:r>
      <w:r w:rsidRPr="00BA1D91">
        <w:rPr>
          <w:sz w:val="22"/>
          <w:lang w:val="ka-GE"/>
        </w:rPr>
        <w:t xml:space="preserve">შესაძლებლობის შემთხვევაში აღნიშნული ტესტების </w:t>
      </w:r>
      <w:r w:rsidR="00223482" w:rsidRPr="00BA1D91">
        <w:rPr>
          <w:sz w:val="22"/>
          <w:lang w:val="ka-GE"/>
        </w:rPr>
        <w:t xml:space="preserve">შესყიდვის </w:t>
      </w:r>
      <w:r w:rsidRPr="00BA1D91">
        <w:rPr>
          <w:sz w:val="22"/>
          <w:lang w:val="ka-GE"/>
        </w:rPr>
        <w:t>საკითხს.</w:t>
      </w:r>
    </w:p>
    <w:p w14:paraId="5FA94152" w14:textId="77777777" w:rsidR="00223482" w:rsidRPr="00BA1D91" w:rsidRDefault="00223482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ჯგუფის წევრებმა გაიზიარეს </w:t>
      </w:r>
      <w:r w:rsidR="000F2022" w:rsidRPr="00BA1D91">
        <w:rPr>
          <w:sz w:val="22"/>
          <w:lang w:val="ka-GE"/>
        </w:rPr>
        <w:t>შეფასება ტესტების სანდოობაზე</w:t>
      </w:r>
      <w:r w:rsidR="0052294C" w:rsidRPr="00BA1D91">
        <w:rPr>
          <w:sz w:val="22"/>
          <w:lang w:val="ka-GE"/>
        </w:rPr>
        <w:t xml:space="preserve"> და გამოხატეს დადებითი პოზიცია შესყიდვასთან დაკავშირებით</w:t>
      </w:r>
      <w:r w:rsidR="000F2022" w:rsidRPr="00BA1D91">
        <w:rPr>
          <w:sz w:val="22"/>
          <w:lang w:val="ka-GE"/>
        </w:rPr>
        <w:t>.</w:t>
      </w:r>
    </w:p>
    <w:p w14:paraId="7B3BD1DC" w14:textId="77777777" w:rsidR="0052294C" w:rsidRPr="00BA1D91" w:rsidRDefault="00F1233C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სხდომა დახურულად გამოცხადდა.</w:t>
      </w:r>
    </w:p>
    <w:p w14:paraId="35754B7F" w14:textId="1B3EF1E1" w:rsidR="00E16970" w:rsidRPr="00BA1D91" w:rsidRDefault="00BA1D91" w:rsidP="00412B2A">
      <w:pPr>
        <w:jc w:val="both"/>
        <w:rPr>
          <w:sz w:val="22"/>
          <w:lang w:val="ka-G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1FF1B" wp14:editId="222F3D9F">
                <wp:simplePos x="0" y="0"/>
                <wp:positionH relativeFrom="page">
                  <wp:align>right</wp:align>
                </wp:positionH>
                <wp:positionV relativeFrom="paragraph">
                  <wp:posOffset>177801</wp:posOffset>
                </wp:positionV>
                <wp:extent cx="7534275" cy="19050"/>
                <wp:effectExtent l="19050" t="19050" r="28575" b="19050"/>
                <wp:wrapSquare wrapText="bothSides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96F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2.05pt,14pt" to="1135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" strokecolor="black [3200]" strokeweight="2.25pt">
                <v:stroke joinstyle="miter"/>
                <w10:wrap type="square" anchorx="page"/>
              </v:line>
            </w:pict>
          </mc:Fallback>
        </mc:AlternateContent>
      </w:r>
    </w:p>
    <w:p w14:paraId="24CFB0B6" w14:textId="77777777" w:rsidR="002A28A2" w:rsidRPr="00BA1D91" w:rsidRDefault="00926F0E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 xml:space="preserve">კომისიის თავმჯდომარე: ეკატერინე ტიკარაძე </w:t>
      </w:r>
    </w:p>
    <w:p w14:paraId="4EBAF728" w14:textId="77777777" w:rsidR="00A64AB6" w:rsidRPr="00BA1D91" w:rsidRDefault="00A64AB6" w:rsidP="00412B2A">
      <w:pPr>
        <w:jc w:val="both"/>
        <w:rPr>
          <w:sz w:val="22"/>
          <w:lang w:val="ka-GE"/>
        </w:rPr>
      </w:pPr>
    </w:p>
    <w:p w14:paraId="75A8867B" w14:textId="77777777" w:rsidR="00926F0E" w:rsidRPr="00BA1D91" w:rsidRDefault="00926F0E" w:rsidP="00412B2A">
      <w:pPr>
        <w:jc w:val="both"/>
        <w:rPr>
          <w:sz w:val="22"/>
          <w:lang w:val="ka-GE"/>
        </w:rPr>
      </w:pPr>
      <w:r w:rsidRPr="00BA1D91">
        <w:rPr>
          <w:sz w:val="22"/>
          <w:lang w:val="ka-GE"/>
        </w:rPr>
        <w:t>კომისიის მდივანი: ანზორ ჭავჭავაძე</w:t>
      </w:r>
    </w:p>
    <w:p w14:paraId="5D3C0B6D" w14:textId="77777777" w:rsidR="00135DD7" w:rsidRPr="00BA1D91" w:rsidRDefault="00135DD7" w:rsidP="00412B2A">
      <w:pPr>
        <w:jc w:val="both"/>
        <w:rPr>
          <w:sz w:val="22"/>
          <w:lang w:val="ka-GE"/>
        </w:rPr>
      </w:pPr>
    </w:p>
    <w:sectPr w:rsidR="00135DD7" w:rsidRPr="00BA1D91" w:rsidSect="0048444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3E62"/>
    <w:multiLevelType w:val="hybridMultilevel"/>
    <w:tmpl w:val="DE6E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35FBE"/>
    <w:multiLevelType w:val="hybridMultilevel"/>
    <w:tmpl w:val="CB065B3E"/>
    <w:lvl w:ilvl="0" w:tplc="7CC8A6F6">
      <w:start w:val="15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C0B9C"/>
    <w:multiLevelType w:val="hybridMultilevel"/>
    <w:tmpl w:val="1A9C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306C"/>
    <w:multiLevelType w:val="hybridMultilevel"/>
    <w:tmpl w:val="1FFA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54883"/>
    <w:multiLevelType w:val="hybridMultilevel"/>
    <w:tmpl w:val="10D2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E1"/>
    <w:rsid w:val="000F2022"/>
    <w:rsid w:val="00135DD7"/>
    <w:rsid w:val="001B2893"/>
    <w:rsid w:val="001E1255"/>
    <w:rsid w:val="00223482"/>
    <w:rsid w:val="002A28A2"/>
    <w:rsid w:val="002D48E5"/>
    <w:rsid w:val="00390692"/>
    <w:rsid w:val="00395164"/>
    <w:rsid w:val="00412B2A"/>
    <w:rsid w:val="00460A14"/>
    <w:rsid w:val="00484445"/>
    <w:rsid w:val="0052294C"/>
    <w:rsid w:val="00546891"/>
    <w:rsid w:val="00591E4E"/>
    <w:rsid w:val="006149F6"/>
    <w:rsid w:val="00755628"/>
    <w:rsid w:val="00906EE4"/>
    <w:rsid w:val="00926F0E"/>
    <w:rsid w:val="00927B26"/>
    <w:rsid w:val="0097732F"/>
    <w:rsid w:val="00A252D3"/>
    <w:rsid w:val="00A64AB6"/>
    <w:rsid w:val="00AE6E6A"/>
    <w:rsid w:val="00B23EB6"/>
    <w:rsid w:val="00BA1D91"/>
    <w:rsid w:val="00C531AD"/>
    <w:rsid w:val="00C75717"/>
    <w:rsid w:val="00CA1766"/>
    <w:rsid w:val="00D327E1"/>
    <w:rsid w:val="00D4602D"/>
    <w:rsid w:val="00E16970"/>
    <w:rsid w:val="00F1233C"/>
    <w:rsid w:val="00F65B72"/>
    <w:rsid w:val="00FB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27BF"/>
  <w15:chartTrackingRefBased/>
  <w15:docId w15:val="{B4BEF8BC-E743-4A1B-8BD3-6327621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B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B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B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576B-4B3B-457C-9E7B-8193A3B3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 tchavtchavadze</dc:creator>
  <cp:keywords/>
  <dc:description/>
  <cp:lastModifiedBy>Ekaterine Adamia</cp:lastModifiedBy>
  <cp:revision>3</cp:revision>
  <cp:lastPrinted>2020-05-14T09:11:00Z</cp:lastPrinted>
  <dcterms:created xsi:type="dcterms:W3CDTF">2020-05-14T09:04:00Z</dcterms:created>
  <dcterms:modified xsi:type="dcterms:W3CDTF">2020-05-14T09:11:00Z</dcterms:modified>
</cp:coreProperties>
</file>